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EBA0ED5" w14:textId="23AB5EDA" w:rsidR="003A41F3" w:rsidRPr="003A41F3" w:rsidRDefault="003A41F3" w:rsidP="003A41F3">
      <w:pPr>
        <w:rPr>
          <w:i/>
        </w:rPr>
      </w:pPr>
      <w:r w:rsidRPr="003A41F3">
        <w:rPr>
          <w:i/>
        </w:rPr>
        <w:t>This document contains a model policy for</w:t>
      </w:r>
      <w:r w:rsidR="008B1119">
        <w:rPr>
          <w:i/>
        </w:rPr>
        <w:t xml:space="preserve"> an</w:t>
      </w:r>
      <w:r w:rsidRPr="003A41F3">
        <w:rPr>
          <w:i/>
        </w:rPr>
        <w:t xml:space="preserve"> </w:t>
      </w:r>
      <w:r w:rsidR="000B34BC" w:rsidRPr="000B34BC">
        <w:rPr>
          <w:i/>
        </w:rPr>
        <w:t xml:space="preserve">annual </w:t>
      </w:r>
      <w:r w:rsidR="00164C9D">
        <w:rPr>
          <w:i/>
        </w:rPr>
        <w:t xml:space="preserve">state </w:t>
      </w:r>
      <w:r w:rsidR="000B34BC" w:rsidRPr="000B34BC">
        <w:rPr>
          <w:i/>
        </w:rPr>
        <w:t>review of career and technical education</w:t>
      </w:r>
      <w:r w:rsidR="000B34BC">
        <w:rPr>
          <w:i/>
        </w:rPr>
        <w:t xml:space="preserve"> (CTE)</w:t>
      </w:r>
      <w:r w:rsidR="000B34BC" w:rsidRPr="000B34BC">
        <w:rPr>
          <w:i/>
        </w:rPr>
        <w:t xml:space="preserve"> offerings in K-12</w:t>
      </w:r>
      <w:r w:rsidR="008B1119">
        <w:rPr>
          <w:i/>
        </w:rPr>
        <w:t xml:space="preserve"> education</w:t>
      </w:r>
      <w:r w:rsidR="000B34BC">
        <w:rPr>
          <w:i/>
        </w:rPr>
        <w:t xml:space="preserve">. </w:t>
      </w:r>
      <w:r w:rsidRPr="003A41F3">
        <w:rPr>
          <w:i/>
        </w:rPr>
        <w:t>Download this model policy as an editable Microsoft Word document.</w:t>
      </w:r>
    </w:p>
    <w:p w14:paraId="22D7DA79" w14:textId="77777777" w:rsidR="00AF7464" w:rsidRDefault="003A41F3" w:rsidP="00C94940">
      <w:pPr>
        <w:pStyle w:val="Heading1"/>
      </w:pPr>
      <w:r>
        <w:t>Summary</w:t>
      </w:r>
    </w:p>
    <w:p w14:paraId="2CE29A3D" w14:textId="60469BF7" w:rsidR="000B34BC" w:rsidRDefault="26352CA5" w:rsidP="000B34BC">
      <w:r>
        <w:t xml:space="preserve">The Annual Review of Career and Technical Education (CTE) Programs allows the state to ensure proper alignment of CTE programs with workforce demand, emphasize the type of CTE programs that will help students learn the skills needed for middle- and high-wage careers </w:t>
      </w:r>
      <w:r w:rsidR="008A4188">
        <w:t>as well as</w:t>
      </w:r>
      <w:r>
        <w:t xml:space="preserve"> inform the public that CTE programs are delivering on the federal, state</w:t>
      </w:r>
      <w:bookmarkStart w:id="0" w:name="_GoBack"/>
      <w:bookmarkEnd w:id="0"/>
      <w:r>
        <w:t xml:space="preserve"> and local investments to produce the skilled workforce needed for economic growth.</w:t>
      </w:r>
    </w:p>
    <w:p w14:paraId="662FE0EF" w14:textId="2E8BA506" w:rsidR="003A41F3" w:rsidRPr="003A41F3" w:rsidRDefault="003A41F3" w:rsidP="003A41F3">
      <w:pPr>
        <w:pStyle w:val="Heading1"/>
      </w:pPr>
      <w:r w:rsidRPr="003A41F3">
        <w:t xml:space="preserve">Model Policy – </w:t>
      </w:r>
      <w:r w:rsidR="000B34BC" w:rsidRPr="000B34BC">
        <w:rPr>
          <w:rFonts w:eastAsia="Times New Roman"/>
        </w:rPr>
        <w:t xml:space="preserve">Annual Review </w:t>
      </w:r>
      <w:r w:rsidR="000B34BC">
        <w:rPr>
          <w:rFonts w:eastAsia="Times New Roman"/>
        </w:rPr>
        <w:t>o</w:t>
      </w:r>
      <w:r w:rsidR="000B34BC" w:rsidRPr="000B34BC">
        <w:rPr>
          <w:rFonts w:eastAsia="Times New Roman"/>
        </w:rPr>
        <w:t xml:space="preserve">f Career </w:t>
      </w:r>
      <w:r w:rsidR="000B34BC">
        <w:rPr>
          <w:rFonts w:eastAsia="Times New Roman"/>
        </w:rPr>
        <w:t>a</w:t>
      </w:r>
      <w:r w:rsidR="000B34BC" w:rsidRPr="000B34BC">
        <w:rPr>
          <w:rFonts w:eastAsia="Times New Roman"/>
        </w:rPr>
        <w:t xml:space="preserve">nd Technical Education Offerings </w:t>
      </w:r>
      <w:r w:rsidR="000B34BC">
        <w:rPr>
          <w:rFonts w:eastAsia="Times New Roman"/>
        </w:rPr>
        <w:t>Act</w:t>
      </w:r>
    </w:p>
    <w:p w14:paraId="18A55CBD" w14:textId="30B7F44D" w:rsidR="000B34BC" w:rsidRPr="000B34BC" w:rsidRDefault="000B34BC" w:rsidP="000B34BC">
      <w:r w:rsidRPr="000B34BC">
        <w:t>Be It Enacted by the Legislature of the (</w:t>
      </w:r>
      <w:r w:rsidRPr="000B34BC">
        <w:rPr>
          <w:i/>
        </w:rPr>
        <w:t>state</w:t>
      </w:r>
      <w:r w:rsidRPr="000B34BC">
        <w:t>):</w:t>
      </w:r>
    </w:p>
    <w:p w14:paraId="1AE38073" w14:textId="4A7AF763" w:rsidR="000B34BC" w:rsidRPr="000B34BC" w:rsidRDefault="000B34BC" w:rsidP="000B34BC">
      <w:pPr>
        <w:rPr>
          <w:b/>
          <w:bCs/>
        </w:rPr>
      </w:pPr>
      <w:r w:rsidRPr="000B34BC">
        <w:rPr>
          <w:b/>
          <w:bCs/>
        </w:rPr>
        <w:t>Section 1.</w:t>
      </w:r>
      <w:r w:rsidRPr="000B34BC">
        <w:rPr>
          <w:b/>
          <w:bCs/>
        </w:rPr>
        <w:tab/>
      </w:r>
    </w:p>
    <w:p w14:paraId="24C381B0" w14:textId="77777777" w:rsidR="000B34BC" w:rsidRPr="000B34BC" w:rsidRDefault="000B34BC" w:rsidP="000B34BC">
      <w:r w:rsidRPr="000B34BC">
        <w:t>(1) The (</w:t>
      </w:r>
      <w:r w:rsidRPr="000B34BC">
        <w:rPr>
          <w:i/>
        </w:rPr>
        <w:t>State Education Leader</w:t>
      </w:r>
      <w:r w:rsidRPr="000B34BC">
        <w:t>) shall conduct an annual review of career and technical education offerings in K-12 and the (</w:t>
      </w:r>
      <w:r w:rsidRPr="000B34BC">
        <w:rPr>
          <w:i/>
        </w:rPr>
        <w:t>state technical/community college system</w:t>
      </w:r>
      <w:r w:rsidRPr="000B34BC">
        <w:t>), in consultation with the (Workforce and Innovation Opportunity Act board, workforce agencies/departments), leaders of business and industry, the (</w:t>
      </w:r>
      <w:r w:rsidRPr="000B34BC">
        <w:rPr>
          <w:i/>
        </w:rPr>
        <w:t>governing board of higher education</w:t>
      </w:r>
      <w:r w:rsidRPr="000B34BC">
        <w:t>), school districts, and other education stakeholders, to determine the alignment of existing offerings with employer demand, postsecondary degree or certificate programs, and professional industry certifications. The review shall identify career and technical education offerings that are linked to occupations that are in high-demand by employers, require high-level skills, and provide middle- and high-level wages. The review shall include analyses of:</w:t>
      </w:r>
    </w:p>
    <w:p w14:paraId="7B530278" w14:textId="77777777" w:rsidR="000B34BC" w:rsidRPr="000B34BC" w:rsidRDefault="000B34BC" w:rsidP="000B34BC">
      <w:pPr>
        <w:ind w:firstLine="720"/>
      </w:pPr>
      <w:r w:rsidRPr="000B34BC">
        <w:t>(a) Participating students and their outcomes, including the following:</w:t>
      </w:r>
    </w:p>
    <w:p w14:paraId="3A92A503" w14:textId="2AEC8E03" w:rsidR="000B34BC" w:rsidRPr="000B34BC" w:rsidRDefault="000B34BC" w:rsidP="000B34BC">
      <w:pPr>
        <w:pStyle w:val="ListParagraph"/>
        <w:numPr>
          <w:ilvl w:val="0"/>
          <w:numId w:val="45"/>
        </w:numPr>
      </w:pPr>
      <w:r w:rsidRPr="000B34BC">
        <w:t>Academic achievement;</w:t>
      </w:r>
    </w:p>
    <w:p w14:paraId="26D141D4" w14:textId="2CA7812B" w:rsidR="000B34BC" w:rsidRPr="000B34BC" w:rsidRDefault="000B34BC" w:rsidP="000B34BC">
      <w:pPr>
        <w:pStyle w:val="ListParagraph"/>
        <w:numPr>
          <w:ilvl w:val="0"/>
          <w:numId w:val="45"/>
        </w:numPr>
      </w:pPr>
      <w:r w:rsidRPr="000B34BC">
        <w:t>Attainment of industry certifications;</w:t>
      </w:r>
    </w:p>
    <w:p w14:paraId="44D71E68" w14:textId="528B4D26" w:rsidR="000B34BC" w:rsidRPr="000B34BC" w:rsidRDefault="000B34BC" w:rsidP="000B34BC">
      <w:pPr>
        <w:pStyle w:val="ListParagraph"/>
        <w:numPr>
          <w:ilvl w:val="0"/>
          <w:numId w:val="45"/>
        </w:numPr>
      </w:pPr>
      <w:r w:rsidRPr="000B34BC">
        <w:t>Program completion;</w:t>
      </w:r>
    </w:p>
    <w:p w14:paraId="0BB6650F" w14:textId="3711900E" w:rsidR="000B34BC" w:rsidRPr="000B34BC" w:rsidRDefault="000B34BC" w:rsidP="000B34BC">
      <w:pPr>
        <w:pStyle w:val="ListParagraph"/>
        <w:numPr>
          <w:ilvl w:val="0"/>
          <w:numId w:val="45"/>
        </w:numPr>
      </w:pPr>
      <w:r w:rsidRPr="000B34BC">
        <w:t>Applied learning experiences;</w:t>
      </w:r>
    </w:p>
    <w:p w14:paraId="6F4FABCA" w14:textId="0155259F" w:rsidR="000B34BC" w:rsidRPr="000B34BC" w:rsidRDefault="000B34BC" w:rsidP="000B34BC">
      <w:pPr>
        <w:pStyle w:val="ListParagraph"/>
        <w:numPr>
          <w:ilvl w:val="0"/>
          <w:numId w:val="45"/>
        </w:numPr>
      </w:pPr>
      <w:r w:rsidRPr="000B34BC">
        <w:t>College credit attainment through the career and technical education program, including dual enrollment or articulation;</w:t>
      </w:r>
    </w:p>
    <w:p w14:paraId="5E7E5F30" w14:textId="7A1E6EF1" w:rsidR="000B34BC" w:rsidRPr="000B34BC" w:rsidRDefault="000B34BC" w:rsidP="000B34BC">
      <w:pPr>
        <w:pStyle w:val="ListParagraph"/>
        <w:numPr>
          <w:ilvl w:val="0"/>
          <w:numId w:val="45"/>
        </w:numPr>
      </w:pPr>
      <w:r w:rsidRPr="000B34BC">
        <w:t>Postsecondary enrollment and credential attainment, including enrollment in 4-year degree programs for state College System students; and</w:t>
      </w:r>
    </w:p>
    <w:p w14:paraId="3116A98D" w14:textId="4C5441FB" w:rsidR="000B34BC" w:rsidRPr="000B34BC" w:rsidRDefault="000B34BC" w:rsidP="000B34BC">
      <w:pPr>
        <w:pStyle w:val="ListParagraph"/>
        <w:numPr>
          <w:ilvl w:val="0"/>
          <w:numId w:val="45"/>
        </w:numPr>
      </w:pPr>
      <w:r w:rsidRPr="000B34BC">
        <w:t>Employment outcomes, including wages;</w:t>
      </w:r>
    </w:p>
    <w:p w14:paraId="4D735C64" w14:textId="77777777" w:rsidR="000B34BC" w:rsidRPr="000B34BC" w:rsidRDefault="000B34BC" w:rsidP="000B34BC">
      <w:pPr>
        <w:ind w:left="720"/>
      </w:pPr>
      <w:r w:rsidRPr="000B34BC">
        <w:t>(b) Demographics of participating students by pathway and credential attainment;</w:t>
      </w:r>
    </w:p>
    <w:p w14:paraId="5DAC3DD2" w14:textId="77777777" w:rsidR="000B34BC" w:rsidRPr="000B34BC" w:rsidRDefault="000B34BC" w:rsidP="000B34BC">
      <w:pPr>
        <w:ind w:left="720"/>
      </w:pPr>
      <w:r w:rsidRPr="000B34BC">
        <w:t>(c) Educational settings of the courses;</w:t>
      </w:r>
    </w:p>
    <w:p w14:paraId="33CC84CB" w14:textId="77777777" w:rsidR="000B34BC" w:rsidRPr="000B34BC" w:rsidRDefault="000B34BC" w:rsidP="000B34BC">
      <w:pPr>
        <w:ind w:left="720"/>
      </w:pPr>
      <w:r w:rsidRPr="000B34BC">
        <w:t>(d) Alignment with high-growth, high-demand and high-wage employment opportunities;</w:t>
      </w:r>
    </w:p>
    <w:p w14:paraId="480F41FA" w14:textId="77777777" w:rsidR="000B34BC" w:rsidRPr="000B34BC" w:rsidRDefault="000B34BC" w:rsidP="000B34BC">
      <w:pPr>
        <w:ind w:left="720"/>
      </w:pPr>
      <w:r w:rsidRPr="000B34BC">
        <w:t>(e) Current and projected economic, labor and wage data on the needs of the state, regional and global economy and workforce.</w:t>
      </w:r>
    </w:p>
    <w:p w14:paraId="0C62F2AF" w14:textId="77777777" w:rsidR="000B34BC" w:rsidRPr="000B34BC" w:rsidRDefault="000B34BC" w:rsidP="000B34BC">
      <w:pPr>
        <w:ind w:left="720"/>
      </w:pPr>
      <w:r w:rsidRPr="000B34BC">
        <w:t>(f) Alignment with certificate or degree programs offered at the postsecondary level or professional industry certifications;</w:t>
      </w:r>
    </w:p>
    <w:p w14:paraId="4B04D567" w14:textId="77777777" w:rsidR="000B34BC" w:rsidRPr="000B34BC" w:rsidRDefault="000B34BC" w:rsidP="000B34BC">
      <w:pPr>
        <w:ind w:left="720"/>
      </w:pPr>
      <w:r w:rsidRPr="000B34BC">
        <w:t>(h) Employment outcomes, including wages, by career and technical education program offerings;</w:t>
      </w:r>
    </w:p>
    <w:p w14:paraId="137BA23E" w14:textId="77777777" w:rsidR="000B34BC" w:rsidRPr="000B34BC" w:rsidRDefault="000B34BC" w:rsidP="000B34BC">
      <w:pPr>
        <w:ind w:left="720"/>
      </w:pPr>
      <w:r w:rsidRPr="000B34BC">
        <w:lastRenderedPageBreak/>
        <w:t>(</w:t>
      </w:r>
      <w:proofErr w:type="spellStart"/>
      <w:r w:rsidRPr="000B34BC">
        <w:t>i</w:t>
      </w:r>
      <w:proofErr w:type="spellEnd"/>
      <w:r w:rsidRPr="000B34BC">
        <w:t>) Apprenticeship and pre-apprenticeship offerings;</w:t>
      </w:r>
    </w:p>
    <w:p w14:paraId="090BE57D" w14:textId="77777777" w:rsidR="000B34BC" w:rsidRPr="000B34BC" w:rsidRDefault="000B34BC" w:rsidP="000B34BC">
      <w:pPr>
        <w:ind w:left="720"/>
      </w:pPr>
      <w:r w:rsidRPr="000B34BC">
        <w:t xml:space="preserve">(j) Qualifications and specialized knowledge and expertise of instructors and the opportunities for these educators to upskill in the latest in-demand skills of employers; and </w:t>
      </w:r>
    </w:p>
    <w:p w14:paraId="286FB265" w14:textId="77777777" w:rsidR="000B34BC" w:rsidRPr="000B34BC" w:rsidRDefault="000B34BC" w:rsidP="000B34BC">
      <w:pPr>
        <w:ind w:left="720"/>
      </w:pPr>
      <w:r w:rsidRPr="000B34BC">
        <w:t>(k) Extent to which federal, state and local funding is used to foster career and technical education program success and program efficiency.</w:t>
      </w:r>
    </w:p>
    <w:p w14:paraId="601B9931" w14:textId="77777777" w:rsidR="000B34BC" w:rsidRPr="000B34BC" w:rsidRDefault="000B34BC" w:rsidP="000B34BC">
      <w:r w:rsidRPr="000B34BC">
        <w:t>(2) Using the findings from the annual review in subsection (1), (</w:t>
      </w:r>
      <w:r w:rsidRPr="000B34BC">
        <w:rPr>
          <w:i/>
          <w:iCs/>
        </w:rPr>
        <w:t>the State Leader of Education</w:t>
      </w:r>
      <w:r w:rsidRPr="000B34BC">
        <w:t>) shall phase out K-12 career and technical education offerings that are not aligned with the needs of employers or do not provide program completers with a middle- or higher-wage job. Additionally, the (</w:t>
      </w:r>
      <w:r w:rsidRPr="000B34BC">
        <w:rPr>
          <w:i/>
          <w:iCs/>
        </w:rPr>
        <w:t>the State Leader of Education</w:t>
      </w:r>
      <w:r w:rsidRPr="000B34BC">
        <w:t>) shall encourage school districts and the (</w:t>
      </w:r>
      <w:r w:rsidRPr="000B34BC">
        <w:rPr>
          <w:i/>
          <w:iCs/>
        </w:rPr>
        <w:t>state technical/community college system</w:t>
      </w:r>
      <w:r w:rsidRPr="000B34BC">
        <w:t>) institutions to offer new programs that are in demand by employers but are not offered by school districts or the (</w:t>
      </w:r>
      <w:r w:rsidRPr="000B34BC">
        <w:rPr>
          <w:i/>
          <w:iCs/>
        </w:rPr>
        <w:t>state technical/community college system</w:t>
      </w:r>
      <w:r w:rsidRPr="000B34BC">
        <w:t>) institutions.</w:t>
      </w:r>
    </w:p>
    <w:p w14:paraId="1DD0D81A" w14:textId="77777777" w:rsidR="000B34BC" w:rsidRPr="000B34BC" w:rsidRDefault="000B34BC" w:rsidP="000B34BC">
      <w:r w:rsidRPr="000B34BC">
        <w:t>(3) By December 1 of each year, the (</w:t>
      </w:r>
      <w:r w:rsidRPr="000B34BC">
        <w:rPr>
          <w:i/>
        </w:rPr>
        <w:t>the State Leader of Education</w:t>
      </w:r>
      <w:r w:rsidRPr="000B34BC">
        <w:t>) shall provide to the Governor, the President of the Senate, and the Speaker of the House of Representatives a report summarizing the following:</w:t>
      </w:r>
    </w:p>
    <w:p w14:paraId="6FFF151D" w14:textId="77777777" w:rsidR="000B34BC" w:rsidRPr="000B34BC" w:rsidRDefault="000B34BC" w:rsidP="000B34BC">
      <w:pPr>
        <w:ind w:left="720"/>
      </w:pPr>
      <w:r w:rsidRPr="000B34BC">
        <w:t>(a) The review’s findings pursuant to subsection (1);</w:t>
      </w:r>
    </w:p>
    <w:p w14:paraId="27D9F82A" w14:textId="77777777" w:rsidR="000B34BC" w:rsidRPr="000B34BC" w:rsidRDefault="000B34BC" w:rsidP="000B34BC">
      <w:pPr>
        <w:ind w:left="720"/>
      </w:pPr>
      <w:r w:rsidRPr="000B34BC">
        <w:t>(b) A list of existing career and technical education programs by school or institution that are not aligned to employer demand or do not provide students with an opportunity to earn a living wage;</w:t>
      </w:r>
    </w:p>
    <w:p w14:paraId="70123C32" w14:textId="77777777" w:rsidR="000B34BC" w:rsidRPr="000B34BC" w:rsidRDefault="000B34BC" w:rsidP="000B34BC">
      <w:pPr>
        <w:ind w:left="720"/>
      </w:pPr>
      <w:r w:rsidRPr="000B34BC">
        <w:t>(c) A list of in-demand knowledge, skills and competencies by employers that are currently not being met through existing career and technical education program offerings;</w:t>
      </w:r>
    </w:p>
    <w:p w14:paraId="069C3B4F" w14:textId="77777777" w:rsidR="000B34BC" w:rsidRPr="000B34BC" w:rsidRDefault="000B34BC" w:rsidP="000B34BC">
      <w:pPr>
        <w:ind w:left="720"/>
      </w:pPr>
      <w:r w:rsidRPr="000B34BC">
        <w:t>(d) The (</w:t>
      </w:r>
      <w:r w:rsidRPr="000B34BC">
        <w:rPr>
          <w:i/>
        </w:rPr>
        <w:t>the State Leader of Education</w:t>
      </w:r>
      <w:r w:rsidRPr="000B34BC">
        <w:t>)’s recommendations to improve the operational efficiency and student success in the state’s career and technical education program offerings.</w:t>
      </w:r>
    </w:p>
    <w:p w14:paraId="2650F266" w14:textId="7F94DFE3" w:rsidR="000B34BC" w:rsidRPr="000B34BC" w:rsidRDefault="000B34BC" w:rsidP="000B34BC">
      <w:r w:rsidRPr="000B34BC">
        <w:t>(4) The (</w:t>
      </w:r>
      <w:r w:rsidRPr="000B34BC">
        <w:rPr>
          <w:i/>
        </w:rPr>
        <w:t>State Board of Education/rulemaking authority)</w:t>
      </w:r>
      <w:r w:rsidRPr="000B34BC">
        <w:t xml:space="preserve"> shall adopt rules pursuant to </w:t>
      </w:r>
      <w:r w:rsidRPr="000B34BC">
        <w:rPr>
          <w:i/>
        </w:rPr>
        <w:t>(sections)</w:t>
      </w:r>
      <w:r w:rsidRPr="000B34BC">
        <w:t xml:space="preserve"> to implement this section.</w:t>
      </w:r>
    </w:p>
    <w:p w14:paraId="497A9AE3" w14:textId="77777777" w:rsidR="000B34BC" w:rsidRPr="000B34BC" w:rsidRDefault="000B34BC" w:rsidP="000B34BC">
      <w:pPr>
        <w:rPr>
          <w:b/>
          <w:bCs/>
        </w:rPr>
      </w:pPr>
      <w:r w:rsidRPr="000B34BC">
        <w:rPr>
          <w:b/>
          <w:bCs/>
        </w:rPr>
        <w:t xml:space="preserve">Section 2. </w:t>
      </w:r>
    </w:p>
    <w:p w14:paraId="67063217" w14:textId="492C7468" w:rsidR="003A41F3" w:rsidRPr="000B34BC" w:rsidRDefault="000B34BC" w:rsidP="000B34BC">
      <w:r w:rsidRPr="000B34BC">
        <w:t>This act shall take effect upon becoming a law.</w:t>
      </w:r>
    </w:p>
    <w:sectPr w:rsidR="003A41F3" w:rsidRPr="000B34BC" w:rsidSect="005F71D7">
      <w:headerReference w:type="default" r:id="rId11"/>
      <w:footerReference w:type="default" r:id="rId12"/>
      <w:headerReference w:type="first" r:id="rId13"/>
      <w:footerReference w:type="first" r:id="rId14"/>
      <w:type w:val="continuous"/>
      <w:pgSz w:w="12240" w:h="15840"/>
      <w:pgMar w:top="1440" w:right="720" w:bottom="720" w:left="720" w:header="1440" w:footer="432"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AB64" w14:textId="77777777" w:rsidR="00BB644D" w:rsidRDefault="00BB644D" w:rsidP="00E20E21">
      <w:pPr>
        <w:spacing w:after="0" w:line="240" w:lineRule="auto"/>
      </w:pPr>
      <w:r>
        <w:separator/>
      </w:r>
    </w:p>
  </w:endnote>
  <w:endnote w:type="continuationSeparator" w:id="0">
    <w:p w14:paraId="438BE922" w14:textId="77777777" w:rsidR="00BB644D" w:rsidRDefault="00BB644D" w:rsidP="00E20E21">
      <w:pPr>
        <w:spacing w:after="0" w:line="240" w:lineRule="auto"/>
      </w:pPr>
      <w:r>
        <w:continuationSeparator/>
      </w:r>
    </w:p>
  </w:endnote>
  <w:endnote w:type="continuationNotice" w:id="1">
    <w:p w14:paraId="47DC6805" w14:textId="77777777" w:rsidR="00BB644D" w:rsidRDefault="00BB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
      </w:rPr>
      <w:id w:val="-1769616900"/>
      <w:docPartObj>
        <w:docPartGallery w:val="Page Numbers (Top of Page)"/>
        <w:docPartUnique/>
      </w:docPartObj>
    </w:sdtPr>
    <w:sdtEndPr>
      <w:rPr>
        <w:rStyle w:val="Page"/>
      </w:rPr>
    </w:sdtEndPr>
    <w:sdtContent>
      <w:p w14:paraId="71AB8732" w14:textId="77777777" w:rsidR="00E603B0" w:rsidRPr="00EA176B" w:rsidRDefault="00E603B0" w:rsidP="00A22B72">
        <w:pPr>
          <w:pStyle w:val="Footer"/>
          <w:jc w:val="center"/>
          <w:rPr>
            <w:rStyle w:val="Page"/>
          </w:rPr>
        </w:pPr>
        <w:r w:rsidRPr="00EA176B">
          <w:rPr>
            <w:rStyle w:val="Page"/>
          </w:rPr>
          <w:t xml:space="preserve">Page </w:t>
        </w:r>
        <w:r w:rsidRPr="00EA176B">
          <w:rPr>
            <w:rStyle w:val="Page"/>
          </w:rPr>
          <w:fldChar w:fldCharType="begin"/>
        </w:r>
        <w:r w:rsidRPr="00EA176B">
          <w:rPr>
            <w:rStyle w:val="Page"/>
          </w:rPr>
          <w:instrText xml:space="preserve"> PAGE </w:instrText>
        </w:r>
        <w:r w:rsidRPr="00EA176B">
          <w:rPr>
            <w:rStyle w:val="Page"/>
          </w:rPr>
          <w:fldChar w:fldCharType="separate"/>
        </w:r>
        <w:r w:rsidR="006E6043" w:rsidRPr="00EA176B">
          <w:rPr>
            <w:rStyle w:val="Page"/>
          </w:rPr>
          <w:t>2</w:t>
        </w:r>
        <w:r w:rsidRPr="00EA176B">
          <w:rPr>
            <w:rStyle w:val="Page"/>
          </w:rPr>
          <w:fldChar w:fldCharType="end"/>
        </w:r>
        <w:r w:rsidRPr="00EA176B">
          <w:rPr>
            <w:rStyle w:val="Page"/>
          </w:rPr>
          <w:t xml:space="preserve"> of </w:t>
        </w:r>
        <w:r w:rsidRPr="00EA176B">
          <w:rPr>
            <w:rStyle w:val="Page"/>
          </w:rPr>
          <w:fldChar w:fldCharType="begin"/>
        </w:r>
        <w:r w:rsidRPr="00EA176B">
          <w:rPr>
            <w:rStyle w:val="Page"/>
          </w:rPr>
          <w:instrText xml:space="preserve"> NUMPAGES  </w:instrText>
        </w:r>
        <w:r w:rsidRPr="00EA176B">
          <w:rPr>
            <w:rStyle w:val="Page"/>
          </w:rPr>
          <w:fldChar w:fldCharType="separate"/>
        </w:r>
        <w:r w:rsidR="006E6043" w:rsidRPr="00EA176B">
          <w:rPr>
            <w:rStyle w:val="Page"/>
          </w:rPr>
          <w:t>2</w:t>
        </w:r>
        <w:r w:rsidRPr="00EA176B">
          <w:rPr>
            <w:rStyle w:val="Page"/>
          </w:rPr>
          <w:fldChar w:fldCharType="end"/>
        </w:r>
      </w:p>
    </w:sdtContent>
  </w:sdt>
  <w:p w14:paraId="5C6E8518" w14:textId="77777777" w:rsidR="00942060" w:rsidRPr="00502CD3" w:rsidRDefault="00942060" w:rsidP="00502CD3">
    <w:pPr>
      <w:pStyle w:val="Footer"/>
      <w:jc w:val="center"/>
      <w:rPr>
        <w:color w:val="4F4E56" w:themeColor="accent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F2D0" w14:textId="77777777" w:rsidR="00942060" w:rsidRPr="00502CD3" w:rsidRDefault="00942060" w:rsidP="00021ADD">
    <w:pPr>
      <w:pStyle w:val="Footer"/>
      <w:jc w:val="center"/>
      <w:rPr>
        <w:color w:val="4F4E56" w:themeColor="accent6"/>
      </w:rPr>
    </w:pPr>
    <w:r>
      <w:rPr>
        <w:color w:val="4F4E56" w:themeColor="accent6"/>
      </w:rPr>
      <w:t xml:space="preserve">www.ExcelinEd.org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8A31" w14:textId="77777777" w:rsidR="00BB644D" w:rsidRDefault="00BB644D" w:rsidP="00E20E21">
      <w:pPr>
        <w:spacing w:after="0" w:line="240" w:lineRule="auto"/>
      </w:pPr>
      <w:r>
        <w:separator/>
      </w:r>
    </w:p>
  </w:footnote>
  <w:footnote w:type="continuationSeparator" w:id="0">
    <w:p w14:paraId="4858408E" w14:textId="77777777" w:rsidR="00BB644D" w:rsidRDefault="00BB644D" w:rsidP="00E20E21">
      <w:pPr>
        <w:spacing w:after="0" w:line="240" w:lineRule="auto"/>
      </w:pPr>
      <w:r>
        <w:continuationSeparator/>
      </w:r>
    </w:p>
  </w:footnote>
  <w:footnote w:type="continuationNotice" w:id="1">
    <w:p w14:paraId="3B1BCDF8" w14:textId="77777777" w:rsidR="00BB644D" w:rsidRDefault="00BB6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0B8E" w14:textId="77777777" w:rsidR="00942060" w:rsidRDefault="005F71D7">
    <w:pPr>
      <w:pStyle w:val="Header"/>
    </w:pPr>
    <w:r>
      <w:rPr>
        <w:noProof/>
      </w:rPr>
      <w:drawing>
        <wp:anchor distT="0" distB="0" distL="114300" distR="114300" simplePos="0" relativeHeight="251658752" behindDoc="0" locked="0" layoutInCell="1" allowOverlap="1" wp14:anchorId="081173D0" wp14:editId="2094A7FD">
          <wp:simplePos x="0" y="0"/>
          <wp:positionH relativeFrom="margin">
            <wp:align>right</wp:align>
          </wp:positionH>
          <wp:positionV relativeFrom="paragraph">
            <wp:posOffset>-723900</wp:posOffset>
          </wp:positionV>
          <wp:extent cx="474980" cy="390525"/>
          <wp:effectExtent l="0" t="0" r="127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xcelinEd_mark_twhite_rgb.png"/>
                  <pic:cNvPicPr/>
                </pic:nvPicPr>
                <pic:blipFill>
                  <a:blip r:embed="rId1">
                    <a:extLst>
                      <a:ext uri="{28A0092B-C50C-407E-A947-70E740481C1C}">
                        <a14:useLocalDpi xmlns:a14="http://schemas.microsoft.com/office/drawing/2010/main" val="0"/>
                      </a:ext>
                    </a:extLst>
                  </a:blip>
                  <a:stretch>
                    <a:fillRect/>
                  </a:stretch>
                </pic:blipFill>
                <pic:spPr>
                  <a:xfrm>
                    <a:off x="0" y="0"/>
                    <a:ext cx="474980" cy="390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01FD5BF2" wp14:editId="6FBD0DE1">
              <wp:simplePos x="0" y="0"/>
              <wp:positionH relativeFrom="page">
                <wp:align>left</wp:align>
              </wp:positionH>
              <wp:positionV relativeFrom="paragraph">
                <wp:posOffset>-910590</wp:posOffset>
              </wp:positionV>
              <wp:extent cx="7791450" cy="904875"/>
              <wp:effectExtent l="0" t="0" r="0" b="9525"/>
              <wp:wrapNone/>
              <wp:docPr id="20" name="Rectangle 20"/>
              <wp:cNvGraphicFramePr/>
              <a:graphic xmlns:a="http://schemas.openxmlformats.org/drawingml/2006/main">
                <a:graphicData uri="http://schemas.microsoft.com/office/word/2010/wordprocessingShape">
                  <wps:wsp>
                    <wps:cNvSpPr/>
                    <wps:spPr>
                      <a:xfrm>
                        <a:off x="0" y="0"/>
                        <a:ext cx="7791450" cy="90487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3A0EF4FB" w14:textId="5BB50F8B" w:rsidR="009F7E2D" w:rsidRDefault="000B34BC" w:rsidP="009F7E2D">
                          <w:pPr>
                            <w:pStyle w:val="NoSpacing"/>
                            <w:ind w:left="720"/>
                            <w:rPr>
                              <w:rStyle w:val="SubtleEmphasis"/>
                              <w:i w:val="0"/>
                            </w:rPr>
                          </w:pPr>
                          <w:r w:rsidRPr="000B34BC">
                            <w:rPr>
                              <w:rStyle w:val="SubtleEmphasis"/>
                              <w:i w:val="0"/>
                            </w:rPr>
                            <w:t xml:space="preserve">Annual Review </w:t>
                          </w:r>
                          <w:r>
                            <w:rPr>
                              <w:rStyle w:val="SubtleEmphasis"/>
                              <w:i w:val="0"/>
                            </w:rPr>
                            <w:t xml:space="preserve">of CTE </w:t>
                          </w:r>
                          <w:r w:rsidRPr="000B34BC">
                            <w:rPr>
                              <w:rStyle w:val="SubtleEmphasis"/>
                              <w:i w:val="0"/>
                            </w:rPr>
                            <w:t>Offerings</w:t>
                          </w:r>
                          <w:r w:rsidR="009F7E2D">
                            <w:rPr>
                              <w:rStyle w:val="SubtleEmphasis"/>
                              <w:i w:val="0"/>
                            </w:rPr>
                            <w:t xml:space="preserve">: </w:t>
                          </w:r>
                          <w:r w:rsidR="003A41F3">
                            <w:rPr>
                              <w:rStyle w:val="SubtleEmphasis"/>
                              <w:i w:val="0"/>
                            </w:rPr>
                            <w:t>Model Policy</w:t>
                          </w:r>
                        </w:p>
                        <w:p w14:paraId="6AD904FE" w14:textId="77777777" w:rsidR="00942060" w:rsidRPr="008464C0" w:rsidRDefault="00D20A12" w:rsidP="009F7E2D">
                          <w:pPr>
                            <w:pStyle w:val="NoSpacing"/>
                            <w:ind w:left="720"/>
                            <w:rPr>
                              <w:rStyle w:val="SubtleEmphasis"/>
                              <w:i w:val="0"/>
                            </w:rPr>
                          </w:pPr>
                          <w:r>
                            <w:rPr>
                              <w:rStyle w:val="SubtleEmphasis"/>
                            </w:rPr>
                            <w:t xml:space="preserve">ExcelinEd </w:t>
                          </w:r>
                          <w:r w:rsidR="00422E2B">
                            <w:rPr>
                              <w:rStyle w:val="SubtleEmphasis"/>
                            </w:rPr>
                            <w:t>Policy Toolkit</w:t>
                          </w:r>
                          <w:r>
                            <w:rPr>
                              <w:rStyle w:val="SubtleEmphasis"/>
                            </w:rPr>
                            <w:t xml:space="preserve"> - 201</w:t>
                          </w:r>
                          <w:r w:rsidR="003A41F3">
                            <w:rPr>
                              <w:rStyle w:val="SubtleEmphasi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5BF2" id="Rectangle 20" o:spid="_x0000_s1026" style="position:absolute;margin-left:0;margin-top:-71.7pt;width:613.5pt;height:71.2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" fillcolor="#25a570 [3208]" stroked="f">
              <v:textbox>
                <w:txbxContent>
                  <w:p w14:paraId="3A0EF4FB" w14:textId="5BB50F8B" w:rsidR="009F7E2D" w:rsidRDefault="000B34BC" w:rsidP="009F7E2D">
                    <w:pPr>
                      <w:pStyle w:val="NoSpacing"/>
                      <w:ind w:left="720"/>
                      <w:rPr>
                        <w:rStyle w:val="SubtleEmphasis"/>
                        <w:i w:val="0"/>
                      </w:rPr>
                    </w:pPr>
                    <w:r w:rsidRPr="000B34BC">
                      <w:rPr>
                        <w:rStyle w:val="SubtleEmphasis"/>
                        <w:i w:val="0"/>
                      </w:rPr>
                      <w:t xml:space="preserve">Annual Review </w:t>
                    </w:r>
                    <w:r>
                      <w:rPr>
                        <w:rStyle w:val="SubtleEmphasis"/>
                        <w:i w:val="0"/>
                      </w:rPr>
                      <w:t xml:space="preserve">of CTE </w:t>
                    </w:r>
                    <w:r w:rsidRPr="000B34BC">
                      <w:rPr>
                        <w:rStyle w:val="SubtleEmphasis"/>
                        <w:i w:val="0"/>
                      </w:rPr>
                      <w:t>Offerings</w:t>
                    </w:r>
                    <w:r w:rsidR="009F7E2D">
                      <w:rPr>
                        <w:rStyle w:val="SubtleEmphasis"/>
                        <w:i w:val="0"/>
                      </w:rPr>
                      <w:t xml:space="preserve">: </w:t>
                    </w:r>
                    <w:r w:rsidR="003A41F3">
                      <w:rPr>
                        <w:rStyle w:val="SubtleEmphasis"/>
                        <w:i w:val="0"/>
                      </w:rPr>
                      <w:t>Model Policy</w:t>
                    </w:r>
                  </w:p>
                  <w:p w14:paraId="6AD904FE" w14:textId="77777777" w:rsidR="00942060" w:rsidRPr="008464C0" w:rsidRDefault="00D20A12" w:rsidP="009F7E2D">
                    <w:pPr>
                      <w:pStyle w:val="NoSpacing"/>
                      <w:ind w:left="720"/>
                      <w:rPr>
                        <w:rStyle w:val="SubtleEmphasis"/>
                        <w:i w:val="0"/>
                      </w:rPr>
                    </w:pPr>
                    <w:r>
                      <w:rPr>
                        <w:rStyle w:val="SubtleEmphasis"/>
                      </w:rPr>
                      <w:t xml:space="preserve">ExcelinEd </w:t>
                    </w:r>
                    <w:r w:rsidR="00422E2B">
                      <w:rPr>
                        <w:rStyle w:val="SubtleEmphasis"/>
                      </w:rPr>
                      <w:t>Policy Toolkit</w:t>
                    </w:r>
                    <w:r>
                      <w:rPr>
                        <w:rStyle w:val="SubtleEmphasis"/>
                      </w:rPr>
                      <w:t xml:space="preserve"> - 201</w:t>
                    </w:r>
                    <w:r w:rsidR="003A41F3">
                      <w:rPr>
                        <w:rStyle w:val="SubtleEmphasis"/>
                      </w:rPr>
                      <w:t>9</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F9A7" w14:textId="03B6BF86" w:rsidR="00942060" w:rsidRDefault="005F71D7">
    <w:pPr>
      <w:pStyle w:val="Header"/>
      <w:rPr>
        <w:noProof/>
      </w:rPr>
    </w:pPr>
    <w:r>
      <w:rPr>
        <w:noProof/>
      </w:rPr>
      <mc:AlternateContent>
        <mc:Choice Requires="wps">
          <w:drawing>
            <wp:anchor distT="0" distB="0" distL="114300" distR="114300" simplePos="0" relativeHeight="251655680" behindDoc="0" locked="0" layoutInCell="1" allowOverlap="1" wp14:anchorId="6B13D988" wp14:editId="738D27FF">
              <wp:simplePos x="0" y="0"/>
              <wp:positionH relativeFrom="page">
                <wp:posOffset>0</wp:posOffset>
              </wp:positionH>
              <wp:positionV relativeFrom="paragraph">
                <wp:posOffset>-914400</wp:posOffset>
              </wp:positionV>
              <wp:extent cx="7772400" cy="13716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37160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25DA96BB" w14:textId="77777777" w:rsidR="00861F16" w:rsidRPr="008464C0" w:rsidRDefault="00861F16" w:rsidP="00861F16">
                          <w:pPr>
                            <w:pStyle w:val="NoSpacing"/>
                            <w:rPr>
                              <w:rStyle w:val="SubtleEmphasis"/>
                              <w:i w:val="0"/>
                            </w:rPr>
                          </w:pPr>
                          <w:r>
                            <w:rPr>
                              <w:rFonts w:ascii="Cambria" w:hAnsi="Cambria"/>
                              <w:iCs/>
                              <w:noProof/>
                              <w:sz w:val="24"/>
                            </w:rPr>
                            <w:drawing>
                              <wp:inline distT="0" distB="0" distL="0" distR="0" wp14:anchorId="73CACA94" wp14:editId="45CA8C99">
                                <wp:extent cx="834458" cy="685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inEd_mark_twhite_rgb.png"/>
                                        <pic:cNvPicPr/>
                                      </pic:nvPicPr>
                                      <pic:blipFill>
                                        <a:blip r:embed="rId1">
                                          <a:extLst>
                                            <a:ext uri="{28A0092B-C50C-407E-A947-70E740481C1C}">
                                              <a14:useLocalDpi xmlns:a14="http://schemas.microsoft.com/office/drawing/2010/main" val="0"/>
                                            </a:ext>
                                          </a:extLst>
                                        </a:blip>
                                        <a:stretch>
                                          <a:fillRect/>
                                        </a:stretch>
                                      </pic:blipFill>
                                      <pic:spPr>
                                        <a:xfrm>
                                          <a:off x="0" y="0"/>
                                          <a:ext cx="834458" cy="685800"/>
                                        </a:xfrm>
                                        <a:prstGeom prst="rect">
                                          <a:avLst/>
                                        </a:prstGeom>
                                      </pic:spPr>
                                    </pic:pic>
                                  </a:graphicData>
                                </a:graphic>
                              </wp:inline>
                            </w:drawing>
                          </w:r>
                        </w:p>
                      </w:txbxContent>
                    </wps:txbx>
                    <wps:bodyPr rot="0" spcFirstLastPara="0" vertOverflow="overflow" horzOverflow="overflow" vert="horz" wrap="square" lIns="457200" tIns="228600" rIns="457200" bIns="228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3D988" id="Rectangle 1" o:spid="_x0000_s1027" style="position:absolute;margin-left:0;margin-top:-1in;width:612pt;height:10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" fillcolor="#25a570 [3208]" stroked="f">
              <v:textbox inset="36pt,18pt,36pt,18pt">
                <w:txbxContent>
                  <w:p w14:paraId="25DA96BB" w14:textId="77777777" w:rsidR="00861F16" w:rsidRPr="008464C0" w:rsidRDefault="00861F16" w:rsidP="00861F16">
                    <w:pPr>
                      <w:pStyle w:val="NoSpacing"/>
                      <w:rPr>
                        <w:rStyle w:val="SubtleEmphasis"/>
                        <w:i w:val="0"/>
                      </w:rPr>
                    </w:pPr>
                    <w:r>
                      <w:rPr>
                        <w:rFonts w:ascii="Cambria" w:hAnsi="Cambria"/>
                        <w:iCs/>
                        <w:noProof/>
                        <w:sz w:val="24"/>
                      </w:rPr>
                      <w:drawing>
                        <wp:inline distT="0" distB="0" distL="0" distR="0" wp14:anchorId="73CACA94" wp14:editId="45CA8C99">
                          <wp:extent cx="834458" cy="685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inEd_mark_twhite_rgb.png"/>
                                  <pic:cNvPicPr/>
                                </pic:nvPicPr>
                                <pic:blipFill>
                                  <a:blip r:embed="rId1">
                                    <a:extLst>
                                      <a:ext uri="{28A0092B-C50C-407E-A947-70E740481C1C}">
                                        <a14:useLocalDpi xmlns:a14="http://schemas.microsoft.com/office/drawing/2010/main" val="0"/>
                                      </a:ext>
                                    </a:extLst>
                                  </a:blip>
                                  <a:stretch>
                                    <a:fillRect/>
                                  </a:stretch>
                                </pic:blipFill>
                                <pic:spPr>
                                  <a:xfrm>
                                    <a:off x="0" y="0"/>
                                    <a:ext cx="834458" cy="685800"/>
                                  </a:xfrm>
                                  <a:prstGeom prst="rect">
                                    <a:avLst/>
                                  </a:prstGeom>
                                </pic:spPr>
                              </pic:pic>
                            </a:graphicData>
                          </a:graphic>
                        </wp:inline>
                      </w:drawing>
                    </w:r>
                  </w:p>
                </w:txbxContent>
              </v:textbox>
              <w10:wrap anchorx="page"/>
            </v:rect>
          </w:pict>
        </mc:Fallback>
      </mc:AlternateContent>
    </w:r>
    <w:r w:rsidR="00861F16" w:rsidRPr="00E6586D">
      <w:rPr>
        <w:noProof/>
      </w:rPr>
      <mc:AlternateContent>
        <mc:Choice Requires="wps">
          <w:drawing>
            <wp:anchor distT="45720" distB="45720" distL="114300" distR="114300" simplePos="0" relativeHeight="251657728" behindDoc="0" locked="0" layoutInCell="1" allowOverlap="1" wp14:anchorId="09444991" wp14:editId="1BC6F0C2">
              <wp:simplePos x="0" y="0"/>
              <wp:positionH relativeFrom="margin">
                <wp:align>right</wp:align>
              </wp:positionH>
              <wp:positionV relativeFrom="page">
                <wp:posOffset>219075</wp:posOffset>
              </wp:positionV>
              <wp:extent cx="6858000" cy="1143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noFill/>
                      <a:ln w="9525">
                        <a:noFill/>
                        <a:miter lim="800000"/>
                        <a:headEnd/>
                        <a:tailEnd/>
                      </a:ln>
                    </wps:spPr>
                    <wps:txbx>
                      <w:txbxContent>
                        <w:p w14:paraId="0C7B721D" w14:textId="17886E10" w:rsidR="00942060" w:rsidRDefault="000B34BC" w:rsidP="00021ADD">
                          <w:pPr>
                            <w:pStyle w:val="Title-Tier1"/>
                            <w:rPr>
                              <w:rStyle w:val="SubtitleChar"/>
                            </w:rPr>
                          </w:pPr>
                          <w:r w:rsidRPr="000B34BC">
                            <w:rPr>
                              <w:rStyle w:val="TitleChar"/>
                            </w:rPr>
                            <w:t xml:space="preserve">ANNUAL REVIEW OF </w:t>
                          </w:r>
                          <w:r>
                            <w:rPr>
                              <w:rStyle w:val="TitleChar"/>
                            </w:rPr>
                            <w:t>CTE</w:t>
                          </w:r>
                          <w:r w:rsidRPr="000B34BC">
                            <w:rPr>
                              <w:rStyle w:val="TitleChar"/>
                            </w:rPr>
                            <w:t xml:space="preserve"> OFFERINGS</w:t>
                          </w:r>
                          <w:r w:rsidR="00942060" w:rsidRPr="004B725D">
                            <w:rPr>
                              <w:rStyle w:val="SubtleEmphasis"/>
                              <w:iCs w:val="0"/>
                              <w:color w:val="DFE4E5" w:themeColor="background2"/>
                              <w:sz w:val="32"/>
                            </w:rPr>
                            <w:br/>
                          </w:r>
                          <w:r w:rsidR="003A41F3">
                            <w:rPr>
                              <w:rStyle w:val="SubtitleChar"/>
                            </w:rPr>
                            <w:t>Model Policy</w:t>
                          </w:r>
                        </w:p>
                        <w:p w14:paraId="76D58B10" w14:textId="77777777" w:rsidR="00942060" w:rsidRPr="0026679D" w:rsidRDefault="00D20A12" w:rsidP="00021ADD">
                          <w:pPr>
                            <w:pStyle w:val="Title-Tier1"/>
                            <w:rPr>
                              <w:rStyle w:val="SubtleEmphasis"/>
                              <w:i w:val="0"/>
                              <w:iCs w:val="0"/>
                              <w:color w:val="DFE4E5" w:themeColor="background2"/>
                              <w:sz w:val="32"/>
                            </w:rPr>
                          </w:pPr>
                          <w:r>
                            <w:rPr>
                              <w:rStyle w:val="SubtleEmphasis"/>
                              <w:color w:val="4F4E56" w:themeColor="accent6"/>
                            </w:rPr>
                            <w:t>ExcelinEd</w:t>
                          </w:r>
                          <w:r w:rsidR="009F7E2D">
                            <w:rPr>
                              <w:rStyle w:val="SubtleEmphasis"/>
                              <w:color w:val="4F4E56" w:themeColor="accent6"/>
                            </w:rPr>
                            <w:t xml:space="preserve"> Policy Toolkit</w:t>
                          </w:r>
                          <w:r w:rsidR="00A22B72">
                            <w:rPr>
                              <w:rStyle w:val="SubtleEmphasis"/>
                              <w:color w:val="4F4E56" w:themeColor="accent6"/>
                            </w:rPr>
                            <w:t xml:space="preserve"> - 201</w:t>
                          </w:r>
                          <w:r w:rsidR="0005153A">
                            <w:rPr>
                              <w:rStyle w:val="SubtleEmphasis"/>
                              <w:color w:val="4F4E56" w:themeColor="accent6"/>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444991" id="_x0000_t202" coordsize="21600,21600" o:spt="202" path="m,l,21600r21600,l21600,xe">
              <v:stroke joinstyle="miter"/>
              <v:path gradientshapeok="t" o:connecttype="rect"/>
            </v:shapetype>
            <v:shape id="Text Box 2" o:spid="_x0000_s1028" type="#_x0000_t202" style="position:absolute;margin-left:488.8pt;margin-top:17.25pt;width:540pt;height:90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" filled="f" stroked="f">
              <v:textbox>
                <w:txbxContent>
                  <w:p w14:paraId="0C7B721D" w14:textId="17886E10" w:rsidR="00942060" w:rsidRDefault="000B34BC" w:rsidP="00021ADD">
                    <w:pPr>
                      <w:pStyle w:val="Title-Tier1"/>
                      <w:rPr>
                        <w:rStyle w:val="SubtitleChar"/>
                      </w:rPr>
                    </w:pPr>
                    <w:r w:rsidRPr="000B34BC">
                      <w:rPr>
                        <w:rStyle w:val="TitleChar"/>
                      </w:rPr>
                      <w:t xml:space="preserve">ANNUAL REVIEW OF </w:t>
                    </w:r>
                    <w:r>
                      <w:rPr>
                        <w:rStyle w:val="TitleChar"/>
                      </w:rPr>
                      <w:t>CTE</w:t>
                    </w:r>
                    <w:r w:rsidRPr="000B34BC">
                      <w:rPr>
                        <w:rStyle w:val="TitleChar"/>
                      </w:rPr>
                      <w:t xml:space="preserve"> OFFERINGS</w:t>
                    </w:r>
                    <w:r w:rsidR="00942060" w:rsidRPr="004B725D">
                      <w:rPr>
                        <w:rStyle w:val="SubtleEmphasis"/>
                        <w:iCs w:val="0"/>
                        <w:color w:val="DFE4E5" w:themeColor="background2"/>
                        <w:sz w:val="32"/>
                      </w:rPr>
                      <w:br/>
                    </w:r>
                    <w:r w:rsidR="003A41F3">
                      <w:rPr>
                        <w:rStyle w:val="SubtitleChar"/>
                      </w:rPr>
                      <w:t>Model Policy</w:t>
                    </w:r>
                  </w:p>
                  <w:p w14:paraId="76D58B10" w14:textId="77777777" w:rsidR="00942060" w:rsidRPr="0026679D" w:rsidRDefault="00D20A12" w:rsidP="00021ADD">
                    <w:pPr>
                      <w:pStyle w:val="Title-Tier1"/>
                      <w:rPr>
                        <w:rStyle w:val="SubtleEmphasis"/>
                        <w:i w:val="0"/>
                        <w:iCs w:val="0"/>
                        <w:color w:val="DFE4E5" w:themeColor="background2"/>
                        <w:sz w:val="32"/>
                      </w:rPr>
                    </w:pPr>
                    <w:r>
                      <w:rPr>
                        <w:rStyle w:val="SubtleEmphasis"/>
                        <w:color w:val="4F4E56" w:themeColor="accent6"/>
                      </w:rPr>
                      <w:t>ExcelinEd</w:t>
                    </w:r>
                    <w:r w:rsidR="009F7E2D">
                      <w:rPr>
                        <w:rStyle w:val="SubtleEmphasis"/>
                        <w:color w:val="4F4E56" w:themeColor="accent6"/>
                      </w:rPr>
                      <w:t xml:space="preserve"> Policy Toolkit</w:t>
                    </w:r>
                    <w:r w:rsidR="00A22B72">
                      <w:rPr>
                        <w:rStyle w:val="SubtleEmphasis"/>
                        <w:color w:val="4F4E56" w:themeColor="accent6"/>
                      </w:rPr>
                      <w:t xml:space="preserve"> - 201</w:t>
                    </w:r>
                    <w:r w:rsidR="0005153A">
                      <w:rPr>
                        <w:rStyle w:val="SubtleEmphasis"/>
                        <w:color w:val="4F4E56" w:themeColor="accent6"/>
                      </w:rPr>
                      <w:t>9</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0EA"/>
    <w:multiLevelType w:val="hybridMultilevel"/>
    <w:tmpl w:val="B35094E2"/>
    <w:lvl w:ilvl="0" w:tplc="2D382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64E"/>
    <w:multiLevelType w:val="hybridMultilevel"/>
    <w:tmpl w:val="C3D2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92D2A"/>
    <w:multiLevelType w:val="multilevel"/>
    <w:tmpl w:val="B268AF2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0F64D9"/>
    <w:multiLevelType w:val="hybridMultilevel"/>
    <w:tmpl w:val="3F5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90BD6"/>
    <w:multiLevelType w:val="multilevel"/>
    <w:tmpl w:val="9A9013F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F1A0435"/>
    <w:multiLevelType w:val="hybridMultilevel"/>
    <w:tmpl w:val="08E0F220"/>
    <w:lvl w:ilvl="0" w:tplc="2D382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C7DAB"/>
    <w:multiLevelType w:val="hybridMultilevel"/>
    <w:tmpl w:val="BD8C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67C8F"/>
    <w:multiLevelType w:val="multilevel"/>
    <w:tmpl w:val="78AA794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32033A"/>
    <w:multiLevelType w:val="hybridMultilevel"/>
    <w:tmpl w:val="43404D40"/>
    <w:lvl w:ilvl="0" w:tplc="E05E01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F3768"/>
    <w:multiLevelType w:val="hybridMultilevel"/>
    <w:tmpl w:val="B568EC9C"/>
    <w:lvl w:ilvl="0" w:tplc="2D3821D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D3E53"/>
    <w:multiLevelType w:val="hybridMultilevel"/>
    <w:tmpl w:val="8808070A"/>
    <w:lvl w:ilvl="0" w:tplc="1974F7A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C46BB"/>
    <w:multiLevelType w:val="multilevel"/>
    <w:tmpl w:val="55F05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01D3EAF"/>
    <w:multiLevelType w:val="hybridMultilevel"/>
    <w:tmpl w:val="9050D9A0"/>
    <w:lvl w:ilvl="0" w:tplc="2D382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B35D4"/>
    <w:multiLevelType w:val="hybridMultilevel"/>
    <w:tmpl w:val="A2A4097C"/>
    <w:lvl w:ilvl="0" w:tplc="1974F7A8">
      <w:start w:val="1"/>
      <w:numFmt w:val="bullet"/>
      <w:lvlText w:val=""/>
      <w:lvlJc w:val="left"/>
      <w:pPr>
        <w:ind w:left="720" w:hanging="360"/>
      </w:pPr>
      <w:rPr>
        <w:rFonts w:ascii="Symbol" w:hAnsi="Symbol" w:hint="default"/>
      </w:rPr>
    </w:lvl>
    <w:lvl w:ilvl="1" w:tplc="1974F7A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F4E96"/>
    <w:multiLevelType w:val="hybridMultilevel"/>
    <w:tmpl w:val="F15039E4"/>
    <w:lvl w:ilvl="0" w:tplc="55504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BF3DDE"/>
    <w:multiLevelType w:val="hybridMultilevel"/>
    <w:tmpl w:val="4C1E7414"/>
    <w:lvl w:ilvl="0" w:tplc="2D382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251E1"/>
    <w:multiLevelType w:val="hybridMultilevel"/>
    <w:tmpl w:val="94AE4D42"/>
    <w:lvl w:ilvl="0" w:tplc="654ED9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70B5"/>
    <w:multiLevelType w:val="hybridMultilevel"/>
    <w:tmpl w:val="20525124"/>
    <w:lvl w:ilvl="0" w:tplc="1974F7A8">
      <w:start w:val="1"/>
      <w:numFmt w:val="bullet"/>
      <w:lvlText w:val=""/>
      <w:lvlJc w:val="left"/>
      <w:pPr>
        <w:ind w:left="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60300"/>
    <w:multiLevelType w:val="hybridMultilevel"/>
    <w:tmpl w:val="68DA0852"/>
    <w:lvl w:ilvl="0" w:tplc="1974F7A8">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1726C"/>
    <w:multiLevelType w:val="hybridMultilevel"/>
    <w:tmpl w:val="BB400528"/>
    <w:lvl w:ilvl="0" w:tplc="322AD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965CE"/>
    <w:multiLevelType w:val="hybridMultilevel"/>
    <w:tmpl w:val="824AC052"/>
    <w:lvl w:ilvl="0" w:tplc="1974F7A8">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C21CA"/>
    <w:multiLevelType w:val="hybridMultilevel"/>
    <w:tmpl w:val="FB408F82"/>
    <w:lvl w:ilvl="0" w:tplc="1974F7A8">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65880"/>
    <w:multiLevelType w:val="hybridMultilevel"/>
    <w:tmpl w:val="C422D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8562B"/>
    <w:multiLevelType w:val="hybridMultilevel"/>
    <w:tmpl w:val="120CB724"/>
    <w:lvl w:ilvl="0" w:tplc="2D382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1265C"/>
    <w:multiLevelType w:val="hybridMultilevel"/>
    <w:tmpl w:val="B28C11A0"/>
    <w:lvl w:ilvl="0" w:tplc="1974F7A8">
      <w:start w:val="1"/>
      <w:numFmt w:val="bullet"/>
      <w:lvlText w:val=""/>
      <w:lvlJc w:val="left"/>
      <w:pPr>
        <w:ind w:left="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21C97"/>
    <w:multiLevelType w:val="hybridMultilevel"/>
    <w:tmpl w:val="DC5A0FF0"/>
    <w:lvl w:ilvl="0" w:tplc="90A0DD7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A01F73"/>
    <w:multiLevelType w:val="hybridMultilevel"/>
    <w:tmpl w:val="6D6EAEE6"/>
    <w:lvl w:ilvl="0" w:tplc="1974F7A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75297"/>
    <w:multiLevelType w:val="hybridMultilevel"/>
    <w:tmpl w:val="8738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102FD0"/>
    <w:multiLevelType w:val="hybridMultilevel"/>
    <w:tmpl w:val="FAE6EB62"/>
    <w:lvl w:ilvl="0" w:tplc="C68A4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EC4B6C"/>
    <w:multiLevelType w:val="hybridMultilevel"/>
    <w:tmpl w:val="65027068"/>
    <w:lvl w:ilvl="0" w:tplc="1974F7A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17D37"/>
    <w:multiLevelType w:val="hybridMultilevel"/>
    <w:tmpl w:val="E0826C8E"/>
    <w:lvl w:ilvl="0" w:tplc="2D382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139D0"/>
    <w:multiLevelType w:val="hybridMultilevel"/>
    <w:tmpl w:val="75F6FE08"/>
    <w:lvl w:ilvl="0" w:tplc="B052B45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964"/>
    <w:multiLevelType w:val="hybridMultilevel"/>
    <w:tmpl w:val="15328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EF2D6C"/>
    <w:multiLevelType w:val="hybridMultilevel"/>
    <w:tmpl w:val="71F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D2A9F"/>
    <w:multiLevelType w:val="hybridMultilevel"/>
    <w:tmpl w:val="7F4AABA6"/>
    <w:lvl w:ilvl="0" w:tplc="1974F7A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34396"/>
    <w:multiLevelType w:val="hybridMultilevel"/>
    <w:tmpl w:val="9042DB58"/>
    <w:lvl w:ilvl="0" w:tplc="788CF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205AE"/>
    <w:multiLevelType w:val="multilevel"/>
    <w:tmpl w:val="2392DFF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16F2ED3"/>
    <w:multiLevelType w:val="hybridMultilevel"/>
    <w:tmpl w:val="0CE615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D8680E"/>
    <w:multiLevelType w:val="hybridMultilevel"/>
    <w:tmpl w:val="1EF26E7E"/>
    <w:lvl w:ilvl="0" w:tplc="B9E662CA">
      <w:start w:val="1"/>
      <w:numFmt w:val="decimal"/>
      <w:lvlText w:val="%1."/>
      <w:lvlJc w:val="left"/>
      <w:pPr>
        <w:ind w:left="360" w:hanging="360"/>
      </w:pPr>
      <w:rPr>
        <w:rFonts w:hint="default"/>
        <w:b/>
        <w:u w:val="none"/>
      </w:rPr>
    </w:lvl>
    <w:lvl w:ilvl="1" w:tplc="E828E0B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DC76A8"/>
    <w:multiLevelType w:val="multilevel"/>
    <w:tmpl w:val="DA64C668"/>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74723A8"/>
    <w:multiLevelType w:val="hybridMultilevel"/>
    <w:tmpl w:val="4FEA315C"/>
    <w:lvl w:ilvl="0" w:tplc="2D382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E7B9F"/>
    <w:multiLevelType w:val="hybridMultilevel"/>
    <w:tmpl w:val="18A02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F76E8E"/>
    <w:multiLevelType w:val="multilevel"/>
    <w:tmpl w:val="FEF0EE6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95E6EE5"/>
    <w:multiLevelType w:val="multilevel"/>
    <w:tmpl w:val="52085BB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4"/>
  </w:num>
  <w:num w:numId="4">
    <w:abstractNumId w:val="10"/>
  </w:num>
  <w:num w:numId="5">
    <w:abstractNumId w:val="29"/>
  </w:num>
  <w:num w:numId="6">
    <w:abstractNumId w:val="26"/>
  </w:num>
  <w:num w:numId="7">
    <w:abstractNumId w:val="13"/>
  </w:num>
  <w:num w:numId="8">
    <w:abstractNumId w:val="24"/>
  </w:num>
  <w:num w:numId="9">
    <w:abstractNumId w:val="18"/>
  </w:num>
  <w:num w:numId="10">
    <w:abstractNumId w:val="17"/>
  </w:num>
  <w:num w:numId="11">
    <w:abstractNumId w:val="21"/>
  </w:num>
  <w:num w:numId="12">
    <w:abstractNumId w:val="2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1"/>
  </w:num>
  <w:num w:numId="16">
    <w:abstractNumId w:val="33"/>
  </w:num>
  <w:num w:numId="17">
    <w:abstractNumId w:val="30"/>
  </w:num>
  <w:num w:numId="18">
    <w:abstractNumId w:val="9"/>
  </w:num>
  <w:num w:numId="19">
    <w:abstractNumId w:val="12"/>
  </w:num>
  <w:num w:numId="20">
    <w:abstractNumId w:val="5"/>
  </w:num>
  <w:num w:numId="21">
    <w:abstractNumId w:val="23"/>
  </w:num>
  <w:num w:numId="22">
    <w:abstractNumId w:val="0"/>
  </w:num>
  <w:num w:numId="23">
    <w:abstractNumId w:val="19"/>
  </w:num>
  <w:num w:numId="24">
    <w:abstractNumId w:val="15"/>
  </w:num>
  <w:num w:numId="25">
    <w:abstractNumId w:val="40"/>
  </w:num>
  <w:num w:numId="26">
    <w:abstractNumId w:val="25"/>
  </w:num>
  <w:num w:numId="27">
    <w:abstractNumId w:val="38"/>
  </w:num>
  <w:num w:numId="28">
    <w:abstractNumId w:val="32"/>
  </w:num>
  <w:num w:numId="29">
    <w:abstractNumId w:val="22"/>
  </w:num>
  <w:num w:numId="30">
    <w:abstractNumId w:val="27"/>
  </w:num>
  <w:num w:numId="31">
    <w:abstractNumId w:val="14"/>
  </w:num>
  <w:num w:numId="32">
    <w:abstractNumId w:val="35"/>
  </w:num>
  <w:num w:numId="33">
    <w:abstractNumId w:val="6"/>
  </w:num>
  <w:num w:numId="34">
    <w:abstractNumId w:val="1"/>
  </w:num>
  <w:num w:numId="35">
    <w:abstractNumId w:val="3"/>
  </w:num>
  <w:num w:numId="36">
    <w:abstractNumId w:val="31"/>
  </w:num>
  <w:num w:numId="37">
    <w:abstractNumId w:val="11"/>
  </w:num>
  <w:num w:numId="38">
    <w:abstractNumId w:val="7"/>
  </w:num>
  <w:num w:numId="39">
    <w:abstractNumId w:val="43"/>
  </w:num>
  <w:num w:numId="40">
    <w:abstractNumId w:val="36"/>
  </w:num>
  <w:num w:numId="41">
    <w:abstractNumId w:val="2"/>
  </w:num>
  <w:num w:numId="42">
    <w:abstractNumId w:val="42"/>
  </w:num>
  <w:num w:numId="43">
    <w:abstractNumId w:val="4"/>
  </w:num>
  <w:num w:numId="44">
    <w:abstractNumId w:val="39"/>
  </w:num>
  <w:num w:numId="45">
    <w:abstractNumId w:val="37"/>
  </w:num>
  <w:num w:numId="4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F3"/>
    <w:rsid w:val="00003B37"/>
    <w:rsid w:val="0001085B"/>
    <w:rsid w:val="000119DD"/>
    <w:rsid w:val="00021ADD"/>
    <w:rsid w:val="00031027"/>
    <w:rsid w:val="00043663"/>
    <w:rsid w:val="00050C09"/>
    <w:rsid w:val="0005153A"/>
    <w:rsid w:val="00057214"/>
    <w:rsid w:val="00096C00"/>
    <w:rsid w:val="000A5CF5"/>
    <w:rsid w:val="000B34BC"/>
    <w:rsid w:val="000C47C1"/>
    <w:rsid w:val="000D79A1"/>
    <w:rsid w:val="000F5705"/>
    <w:rsid w:val="0010470F"/>
    <w:rsid w:val="00111670"/>
    <w:rsid w:val="00111E82"/>
    <w:rsid w:val="00115856"/>
    <w:rsid w:val="00133A5E"/>
    <w:rsid w:val="00134764"/>
    <w:rsid w:val="001568FF"/>
    <w:rsid w:val="00157610"/>
    <w:rsid w:val="00162138"/>
    <w:rsid w:val="0016358C"/>
    <w:rsid w:val="00163671"/>
    <w:rsid w:val="00164C9D"/>
    <w:rsid w:val="001762F8"/>
    <w:rsid w:val="00191849"/>
    <w:rsid w:val="00192399"/>
    <w:rsid w:val="001A0464"/>
    <w:rsid w:val="001B0D76"/>
    <w:rsid w:val="001B5248"/>
    <w:rsid w:val="00202A66"/>
    <w:rsid w:val="00202FF3"/>
    <w:rsid w:val="0020437A"/>
    <w:rsid w:val="0022037D"/>
    <w:rsid w:val="00221B89"/>
    <w:rsid w:val="0022677D"/>
    <w:rsid w:val="00226E69"/>
    <w:rsid w:val="00237CB5"/>
    <w:rsid w:val="00260AF2"/>
    <w:rsid w:val="0026679D"/>
    <w:rsid w:val="00272DC4"/>
    <w:rsid w:val="0027554F"/>
    <w:rsid w:val="002768A1"/>
    <w:rsid w:val="002A6AEF"/>
    <w:rsid w:val="002B09D0"/>
    <w:rsid w:val="002C0BB7"/>
    <w:rsid w:val="002C66B7"/>
    <w:rsid w:val="002D12EB"/>
    <w:rsid w:val="002E6306"/>
    <w:rsid w:val="002E70BA"/>
    <w:rsid w:val="002F15C7"/>
    <w:rsid w:val="002F664C"/>
    <w:rsid w:val="00307D6D"/>
    <w:rsid w:val="003231B6"/>
    <w:rsid w:val="00333D79"/>
    <w:rsid w:val="00343198"/>
    <w:rsid w:val="00343B0B"/>
    <w:rsid w:val="00350AE9"/>
    <w:rsid w:val="00391BA3"/>
    <w:rsid w:val="00394CAE"/>
    <w:rsid w:val="0039539D"/>
    <w:rsid w:val="003A18B2"/>
    <w:rsid w:val="003A41F3"/>
    <w:rsid w:val="003A7648"/>
    <w:rsid w:val="003B50AC"/>
    <w:rsid w:val="003C0556"/>
    <w:rsid w:val="003C1E7C"/>
    <w:rsid w:val="003C2E70"/>
    <w:rsid w:val="003C3E01"/>
    <w:rsid w:val="003C6866"/>
    <w:rsid w:val="003D3508"/>
    <w:rsid w:val="003D5CD2"/>
    <w:rsid w:val="003E4B6F"/>
    <w:rsid w:val="003E4CEB"/>
    <w:rsid w:val="003F260F"/>
    <w:rsid w:val="00405047"/>
    <w:rsid w:val="004060D8"/>
    <w:rsid w:val="00406484"/>
    <w:rsid w:val="00422BDE"/>
    <w:rsid w:val="00422E2B"/>
    <w:rsid w:val="004311F4"/>
    <w:rsid w:val="00435897"/>
    <w:rsid w:val="00441015"/>
    <w:rsid w:val="0044222E"/>
    <w:rsid w:val="004633D9"/>
    <w:rsid w:val="00463E95"/>
    <w:rsid w:val="00463ECF"/>
    <w:rsid w:val="00484CB6"/>
    <w:rsid w:val="00491399"/>
    <w:rsid w:val="004A1FB5"/>
    <w:rsid w:val="004B725D"/>
    <w:rsid w:val="004C6F95"/>
    <w:rsid w:val="004D08E1"/>
    <w:rsid w:val="004D6382"/>
    <w:rsid w:val="004E00D3"/>
    <w:rsid w:val="004E3633"/>
    <w:rsid w:val="004F6412"/>
    <w:rsid w:val="00500413"/>
    <w:rsid w:val="00502CD3"/>
    <w:rsid w:val="00514E0A"/>
    <w:rsid w:val="00521D13"/>
    <w:rsid w:val="00544279"/>
    <w:rsid w:val="00546BE2"/>
    <w:rsid w:val="005535B2"/>
    <w:rsid w:val="0055783F"/>
    <w:rsid w:val="00583F02"/>
    <w:rsid w:val="005948B6"/>
    <w:rsid w:val="005949AE"/>
    <w:rsid w:val="005B17E2"/>
    <w:rsid w:val="005B2687"/>
    <w:rsid w:val="005C2287"/>
    <w:rsid w:val="005C327F"/>
    <w:rsid w:val="005C666A"/>
    <w:rsid w:val="005D556E"/>
    <w:rsid w:val="005F395E"/>
    <w:rsid w:val="005F71D7"/>
    <w:rsid w:val="005F7E13"/>
    <w:rsid w:val="00614FD4"/>
    <w:rsid w:val="00616DDE"/>
    <w:rsid w:val="006248D9"/>
    <w:rsid w:val="00630B93"/>
    <w:rsid w:val="006322B7"/>
    <w:rsid w:val="00636975"/>
    <w:rsid w:val="00640275"/>
    <w:rsid w:val="006471E4"/>
    <w:rsid w:val="00651E35"/>
    <w:rsid w:val="006553C1"/>
    <w:rsid w:val="006569A1"/>
    <w:rsid w:val="00666E71"/>
    <w:rsid w:val="006B0F41"/>
    <w:rsid w:val="006E18C9"/>
    <w:rsid w:val="006E6043"/>
    <w:rsid w:val="006E7F29"/>
    <w:rsid w:val="006F15A9"/>
    <w:rsid w:val="00717E37"/>
    <w:rsid w:val="007236EC"/>
    <w:rsid w:val="00734DA8"/>
    <w:rsid w:val="00735BE1"/>
    <w:rsid w:val="0075754D"/>
    <w:rsid w:val="00772FFC"/>
    <w:rsid w:val="00782243"/>
    <w:rsid w:val="007853C5"/>
    <w:rsid w:val="00790CC5"/>
    <w:rsid w:val="00791C4A"/>
    <w:rsid w:val="007A2FE7"/>
    <w:rsid w:val="007A3697"/>
    <w:rsid w:val="007A45CF"/>
    <w:rsid w:val="007C1987"/>
    <w:rsid w:val="007E016E"/>
    <w:rsid w:val="007E22EE"/>
    <w:rsid w:val="007E3983"/>
    <w:rsid w:val="007F33B1"/>
    <w:rsid w:val="00802CFE"/>
    <w:rsid w:val="00841423"/>
    <w:rsid w:val="008464C0"/>
    <w:rsid w:val="00856007"/>
    <w:rsid w:val="00861BA7"/>
    <w:rsid w:val="00861F16"/>
    <w:rsid w:val="00873839"/>
    <w:rsid w:val="00887A6F"/>
    <w:rsid w:val="008908D2"/>
    <w:rsid w:val="00897705"/>
    <w:rsid w:val="008A3551"/>
    <w:rsid w:val="008A4188"/>
    <w:rsid w:val="008B1119"/>
    <w:rsid w:val="008C43D1"/>
    <w:rsid w:val="008C7963"/>
    <w:rsid w:val="008D0579"/>
    <w:rsid w:val="008D6A58"/>
    <w:rsid w:val="008E246F"/>
    <w:rsid w:val="008F7299"/>
    <w:rsid w:val="0091564D"/>
    <w:rsid w:val="00942060"/>
    <w:rsid w:val="009515F5"/>
    <w:rsid w:val="00956E74"/>
    <w:rsid w:val="00960A09"/>
    <w:rsid w:val="009615DC"/>
    <w:rsid w:val="009833EB"/>
    <w:rsid w:val="00987FEA"/>
    <w:rsid w:val="00991748"/>
    <w:rsid w:val="009A3FA7"/>
    <w:rsid w:val="009C740E"/>
    <w:rsid w:val="009E5A39"/>
    <w:rsid w:val="009F7E2D"/>
    <w:rsid w:val="00A05BCE"/>
    <w:rsid w:val="00A07A12"/>
    <w:rsid w:val="00A07FE4"/>
    <w:rsid w:val="00A10A07"/>
    <w:rsid w:val="00A133AE"/>
    <w:rsid w:val="00A16199"/>
    <w:rsid w:val="00A16911"/>
    <w:rsid w:val="00A22B72"/>
    <w:rsid w:val="00A419AF"/>
    <w:rsid w:val="00A531F8"/>
    <w:rsid w:val="00A716D3"/>
    <w:rsid w:val="00A9122B"/>
    <w:rsid w:val="00AB0C95"/>
    <w:rsid w:val="00AB4205"/>
    <w:rsid w:val="00AD27FE"/>
    <w:rsid w:val="00AE4B5F"/>
    <w:rsid w:val="00AF154F"/>
    <w:rsid w:val="00AF1599"/>
    <w:rsid w:val="00AF7464"/>
    <w:rsid w:val="00B145BD"/>
    <w:rsid w:val="00B17F5F"/>
    <w:rsid w:val="00B22DCE"/>
    <w:rsid w:val="00B3472D"/>
    <w:rsid w:val="00B56CED"/>
    <w:rsid w:val="00B74167"/>
    <w:rsid w:val="00B75C00"/>
    <w:rsid w:val="00B86494"/>
    <w:rsid w:val="00BA25B3"/>
    <w:rsid w:val="00BA71D4"/>
    <w:rsid w:val="00BB17DB"/>
    <w:rsid w:val="00BB644D"/>
    <w:rsid w:val="00BB7294"/>
    <w:rsid w:val="00BD079E"/>
    <w:rsid w:val="00BD1BDA"/>
    <w:rsid w:val="00BD67CE"/>
    <w:rsid w:val="00BE5E87"/>
    <w:rsid w:val="00C13D8F"/>
    <w:rsid w:val="00C458B9"/>
    <w:rsid w:val="00C461A6"/>
    <w:rsid w:val="00C77833"/>
    <w:rsid w:val="00C93333"/>
    <w:rsid w:val="00C94940"/>
    <w:rsid w:val="00CA79E1"/>
    <w:rsid w:val="00CC255B"/>
    <w:rsid w:val="00CC7B58"/>
    <w:rsid w:val="00CD5619"/>
    <w:rsid w:val="00CF63B3"/>
    <w:rsid w:val="00D14266"/>
    <w:rsid w:val="00D20A12"/>
    <w:rsid w:val="00D240C7"/>
    <w:rsid w:val="00D41F78"/>
    <w:rsid w:val="00D515DE"/>
    <w:rsid w:val="00D66287"/>
    <w:rsid w:val="00D726CB"/>
    <w:rsid w:val="00D828F6"/>
    <w:rsid w:val="00D867E2"/>
    <w:rsid w:val="00D96E2C"/>
    <w:rsid w:val="00D97B1F"/>
    <w:rsid w:val="00DA04AA"/>
    <w:rsid w:val="00DA1D36"/>
    <w:rsid w:val="00DD44D3"/>
    <w:rsid w:val="00DE0794"/>
    <w:rsid w:val="00DF7DB7"/>
    <w:rsid w:val="00E20E21"/>
    <w:rsid w:val="00E432CA"/>
    <w:rsid w:val="00E50C5E"/>
    <w:rsid w:val="00E537EE"/>
    <w:rsid w:val="00E555AA"/>
    <w:rsid w:val="00E603B0"/>
    <w:rsid w:val="00E60C7A"/>
    <w:rsid w:val="00E6586D"/>
    <w:rsid w:val="00E92025"/>
    <w:rsid w:val="00EA176B"/>
    <w:rsid w:val="00EA5643"/>
    <w:rsid w:val="00EB6776"/>
    <w:rsid w:val="00ED27BB"/>
    <w:rsid w:val="00EE084B"/>
    <w:rsid w:val="00EE23EC"/>
    <w:rsid w:val="00EF578E"/>
    <w:rsid w:val="00F04132"/>
    <w:rsid w:val="00F12533"/>
    <w:rsid w:val="00F172BB"/>
    <w:rsid w:val="00F269E1"/>
    <w:rsid w:val="00F339D5"/>
    <w:rsid w:val="00F423B0"/>
    <w:rsid w:val="00F50015"/>
    <w:rsid w:val="00F508A8"/>
    <w:rsid w:val="00F530AD"/>
    <w:rsid w:val="00F61A05"/>
    <w:rsid w:val="00FA3298"/>
    <w:rsid w:val="00FA6248"/>
    <w:rsid w:val="00FA7185"/>
    <w:rsid w:val="00FB1010"/>
    <w:rsid w:val="00FC53E0"/>
    <w:rsid w:val="00FC5F33"/>
    <w:rsid w:val="00FD19FA"/>
    <w:rsid w:val="00FE2F17"/>
    <w:rsid w:val="00FE7E0E"/>
    <w:rsid w:val="00FF374D"/>
    <w:rsid w:val="20B40870"/>
    <w:rsid w:val="22CDA6C8"/>
    <w:rsid w:val="24A22911"/>
    <w:rsid w:val="26352CA5"/>
    <w:rsid w:val="35F69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364F8"/>
  <w15:chartTrackingRefBased/>
  <w15:docId w15:val="{B0EFDC51-860B-43CF-B7D8-53C4428D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F4"/>
    <w:pPr>
      <w:spacing w:line="300" w:lineRule="auto"/>
    </w:pPr>
    <w:rPr>
      <w:sz w:val="20"/>
    </w:rPr>
  </w:style>
  <w:style w:type="paragraph" w:styleId="Heading1">
    <w:name w:val="heading 1"/>
    <w:basedOn w:val="Normal"/>
    <w:next w:val="Normal"/>
    <w:link w:val="Heading1Char"/>
    <w:autoRedefine/>
    <w:uiPriority w:val="9"/>
    <w:qFormat/>
    <w:rsid w:val="00C94940"/>
    <w:pPr>
      <w:keepNext/>
      <w:keepLines/>
      <w:shd w:val="clear" w:color="auto" w:fill="25A570" w:themeFill="accent5"/>
      <w:spacing w:after="120" w:line="240" w:lineRule="auto"/>
      <w:ind w:left="360" w:hanging="360"/>
      <w:outlineLvl w:val="0"/>
    </w:pPr>
    <w:rPr>
      <w:rFonts w:eastAsiaTheme="majorEastAsia" w:cstheme="majorBidi"/>
      <w:b/>
      <w:smallCaps/>
      <w:color w:val="FFFFFF" w:themeColor="background1"/>
      <w:sz w:val="28"/>
      <w:szCs w:val="20"/>
    </w:rPr>
  </w:style>
  <w:style w:type="paragraph" w:styleId="Heading2">
    <w:name w:val="heading 2"/>
    <w:basedOn w:val="Normal"/>
    <w:next w:val="Normal"/>
    <w:link w:val="Heading2Char"/>
    <w:autoRedefine/>
    <w:uiPriority w:val="9"/>
    <w:unhideWhenUsed/>
    <w:qFormat/>
    <w:rsid w:val="00C94940"/>
    <w:pPr>
      <w:pBdr>
        <w:bottom w:val="single" w:sz="4" w:space="1" w:color="DFE4E5" w:themeColor="background2"/>
      </w:pBdr>
      <w:shd w:val="clear" w:color="auto" w:fill="FFFFFF" w:themeFill="background1"/>
      <w:spacing w:before="120" w:after="120"/>
      <w:ind w:left="360" w:hanging="360"/>
      <w:outlineLvl w:val="1"/>
    </w:pPr>
    <w:rPr>
      <w:b/>
      <w:color w:val="25A570" w:themeColor="accent5"/>
      <w:sz w:val="24"/>
      <w:szCs w:val="20"/>
    </w:rPr>
  </w:style>
  <w:style w:type="paragraph" w:styleId="Heading3">
    <w:name w:val="heading 3"/>
    <w:basedOn w:val="Normal"/>
    <w:next w:val="Normal"/>
    <w:link w:val="Heading3Char"/>
    <w:autoRedefine/>
    <w:uiPriority w:val="9"/>
    <w:unhideWhenUsed/>
    <w:qFormat/>
    <w:rsid w:val="00C94940"/>
    <w:pPr>
      <w:keepNext/>
      <w:keepLines/>
      <w:shd w:val="clear" w:color="auto" w:fill="DFE4E5" w:themeFill="background2"/>
      <w:spacing w:before="40" w:after="40"/>
      <w:outlineLvl w:val="2"/>
    </w:pPr>
    <w:rPr>
      <w:rFonts w:asciiTheme="majorHAnsi" w:eastAsiaTheme="majorEastAsia" w:hAnsiTheme="majorHAnsi" w:cstheme="majorBidi"/>
      <w:b/>
      <w:color w:val="25A570" w:themeColor="accent5"/>
      <w:sz w:val="24"/>
      <w:szCs w:val="24"/>
    </w:rPr>
  </w:style>
  <w:style w:type="paragraph" w:styleId="Heading4">
    <w:name w:val="heading 4"/>
    <w:basedOn w:val="Normal"/>
    <w:next w:val="Normal"/>
    <w:link w:val="Heading4Char"/>
    <w:autoRedefine/>
    <w:uiPriority w:val="9"/>
    <w:unhideWhenUsed/>
    <w:qFormat/>
    <w:rsid w:val="00C94940"/>
    <w:pPr>
      <w:keepNext/>
      <w:keepLines/>
      <w:spacing w:before="40" w:after="0"/>
      <w:outlineLvl w:val="3"/>
    </w:pPr>
    <w:rPr>
      <w:rFonts w:asciiTheme="majorHAnsi" w:eastAsiaTheme="majorEastAsia" w:hAnsiTheme="majorHAnsi" w:cstheme="majorBidi"/>
      <w:b/>
      <w:i/>
      <w:iCs/>
      <w:color w:val="25A570" w:themeColor="accent5"/>
      <w:sz w:val="24"/>
    </w:rPr>
  </w:style>
  <w:style w:type="paragraph" w:styleId="Heading5">
    <w:name w:val="heading 5"/>
    <w:basedOn w:val="Normal"/>
    <w:next w:val="Normal"/>
    <w:link w:val="Heading5Char"/>
    <w:uiPriority w:val="9"/>
    <w:unhideWhenUsed/>
    <w:rsid w:val="00E20E21"/>
    <w:pPr>
      <w:keepNext/>
      <w:keepLines/>
      <w:spacing w:before="40" w:after="0"/>
      <w:outlineLvl w:val="4"/>
    </w:pPr>
    <w:rPr>
      <w:rFonts w:asciiTheme="majorHAnsi" w:eastAsiaTheme="majorEastAsia" w:hAnsiTheme="majorHAnsi" w:cstheme="majorBidi"/>
      <w:color w:val="126D9C" w:themeColor="accent1" w:themeShade="BF"/>
    </w:rPr>
  </w:style>
  <w:style w:type="paragraph" w:styleId="Heading6">
    <w:name w:val="heading 6"/>
    <w:basedOn w:val="Normal"/>
    <w:next w:val="Normal"/>
    <w:link w:val="Heading6Char"/>
    <w:uiPriority w:val="9"/>
    <w:unhideWhenUsed/>
    <w:rsid w:val="00E20E21"/>
    <w:pPr>
      <w:keepNext/>
      <w:keepLines/>
      <w:spacing w:before="40" w:after="0"/>
      <w:outlineLvl w:val="5"/>
    </w:pPr>
    <w:rPr>
      <w:rFonts w:asciiTheme="majorHAnsi" w:eastAsiaTheme="majorEastAsia" w:hAnsiTheme="majorHAnsi" w:cstheme="majorBidi"/>
      <w:color w:val="0C48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25D"/>
    <w:pPr>
      <w:spacing w:after="0" w:line="240" w:lineRule="auto"/>
    </w:pPr>
    <w:rPr>
      <w:sz w:val="20"/>
    </w:rPr>
  </w:style>
  <w:style w:type="character" w:customStyle="1" w:styleId="Heading1Char">
    <w:name w:val="Heading 1 Char"/>
    <w:basedOn w:val="DefaultParagraphFont"/>
    <w:link w:val="Heading1"/>
    <w:uiPriority w:val="9"/>
    <w:rsid w:val="00C94940"/>
    <w:rPr>
      <w:rFonts w:eastAsiaTheme="majorEastAsia" w:cstheme="majorBidi"/>
      <w:b/>
      <w:smallCaps/>
      <w:color w:val="FFFFFF" w:themeColor="background1"/>
      <w:sz w:val="28"/>
      <w:szCs w:val="20"/>
      <w:shd w:val="clear" w:color="auto" w:fill="25A570" w:themeFill="accent5"/>
    </w:rPr>
  </w:style>
  <w:style w:type="character" w:customStyle="1" w:styleId="Heading2Char">
    <w:name w:val="Heading 2 Char"/>
    <w:basedOn w:val="DefaultParagraphFont"/>
    <w:link w:val="Heading2"/>
    <w:uiPriority w:val="9"/>
    <w:rsid w:val="00C94940"/>
    <w:rPr>
      <w:b/>
      <w:color w:val="25A570" w:themeColor="accent5"/>
      <w:sz w:val="24"/>
      <w:szCs w:val="20"/>
      <w:shd w:val="clear" w:color="auto" w:fill="FFFFFF" w:themeFill="background1"/>
    </w:rPr>
  </w:style>
  <w:style w:type="character" w:customStyle="1" w:styleId="Heading3Char">
    <w:name w:val="Heading 3 Char"/>
    <w:basedOn w:val="DefaultParagraphFont"/>
    <w:link w:val="Heading3"/>
    <w:uiPriority w:val="9"/>
    <w:rsid w:val="00C94940"/>
    <w:rPr>
      <w:rFonts w:asciiTheme="majorHAnsi" w:eastAsiaTheme="majorEastAsia" w:hAnsiTheme="majorHAnsi" w:cstheme="majorBidi"/>
      <w:b/>
      <w:color w:val="25A570" w:themeColor="accent5"/>
      <w:sz w:val="24"/>
      <w:szCs w:val="24"/>
      <w:shd w:val="clear" w:color="auto" w:fill="DFE4E5" w:themeFill="background2"/>
    </w:rPr>
  </w:style>
  <w:style w:type="character" w:customStyle="1" w:styleId="Heading4Char">
    <w:name w:val="Heading 4 Char"/>
    <w:basedOn w:val="DefaultParagraphFont"/>
    <w:link w:val="Heading4"/>
    <w:uiPriority w:val="9"/>
    <w:rsid w:val="00C94940"/>
    <w:rPr>
      <w:rFonts w:asciiTheme="majorHAnsi" w:eastAsiaTheme="majorEastAsia" w:hAnsiTheme="majorHAnsi" w:cstheme="majorBidi"/>
      <w:b/>
      <w:i/>
      <w:iCs/>
      <w:color w:val="25A570" w:themeColor="accent5"/>
      <w:sz w:val="24"/>
    </w:rPr>
  </w:style>
  <w:style w:type="character" w:customStyle="1" w:styleId="Heading5Char">
    <w:name w:val="Heading 5 Char"/>
    <w:basedOn w:val="DefaultParagraphFont"/>
    <w:link w:val="Heading5"/>
    <w:uiPriority w:val="9"/>
    <w:rsid w:val="00E20E21"/>
    <w:rPr>
      <w:rFonts w:asciiTheme="majorHAnsi" w:eastAsiaTheme="majorEastAsia" w:hAnsiTheme="majorHAnsi" w:cstheme="majorBidi"/>
      <w:color w:val="126D9C" w:themeColor="accent1" w:themeShade="BF"/>
    </w:rPr>
  </w:style>
  <w:style w:type="paragraph" w:styleId="Title">
    <w:name w:val="Title"/>
    <w:basedOn w:val="Normal"/>
    <w:next w:val="Normal"/>
    <w:link w:val="TitleChar"/>
    <w:autoRedefine/>
    <w:uiPriority w:val="10"/>
    <w:qFormat/>
    <w:rsid w:val="00003B37"/>
    <w:pPr>
      <w:spacing w:after="0" w:line="240" w:lineRule="auto"/>
      <w:contextualSpacing/>
    </w:pPr>
    <w:rPr>
      <w:rFonts w:ascii="Cambria" w:eastAsiaTheme="majorEastAsia" w:hAnsi="Cambria" w:cstheme="majorBidi"/>
      <w:b/>
      <w:caps/>
      <w:color w:val="FFFFFF" w:themeColor="background1"/>
      <w:spacing w:val="-10"/>
      <w:kern w:val="28"/>
      <w:sz w:val="48"/>
      <w:szCs w:val="56"/>
    </w:rPr>
  </w:style>
  <w:style w:type="character" w:customStyle="1" w:styleId="TitleChar">
    <w:name w:val="Title Char"/>
    <w:basedOn w:val="DefaultParagraphFont"/>
    <w:link w:val="Title"/>
    <w:uiPriority w:val="10"/>
    <w:rsid w:val="00003B37"/>
    <w:rPr>
      <w:rFonts w:ascii="Cambria" w:eastAsiaTheme="majorEastAsia" w:hAnsi="Cambria" w:cstheme="majorBidi"/>
      <w:b/>
      <w:caps/>
      <w:color w:val="FFFFFF" w:themeColor="background1"/>
      <w:spacing w:val="-10"/>
      <w:kern w:val="28"/>
      <w:sz w:val="48"/>
      <w:szCs w:val="56"/>
    </w:rPr>
  </w:style>
  <w:style w:type="paragraph" w:styleId="Subtitle">
    <w:name w:val="Subtitle"/>
    <w:basedOn w:val="Normal"/>
    <w:next w:val="Normal"/>
    <w:link w:val="SubtitleChar"/>
    <w:autoRedefine/>
    <w:uiPriority w:val="11"/>
    <w:qFormat/>
    <w:rsid w:val="00003B37"/>
    <w:pPr>
      <w:numPr>
        <w:ilvl w:val="1"/>
      </w:numPr>
      <w:spacing w:after="0" w:line="240" w:lineRule="auto"/>
      <w:contextualSpacing/>
      <w:jc w:val="center"/>
    </w:pPr>
    <w:rPr>
      <w:rFonts w:ascii="Cambria" w:eastAsiaTheme="minorEastAsia" w:hAnsi="Cambria"/>
      <w:i/>
      <w:color w:val="FFFFFF" w:themeColor="background1"/>
      <w:spacing w:val="15"/>
      <w:sz w:val="32"/>
    </w:rPr>
  </w:style>
  <w:style w:type="character" w:customStyle="1" w:styleId="SubtitleChar">
    <w:name w:val="Subtitle Char"/>
    <w:basedOn w:val="DefaultParagraphFont"/>
    <w:link w:val="Subtitle"/>
    <w:uiPriority w:val="11"/>
    <w:rsid w:val="00003B37"/>
    <w:rPr>
      <w:rFonts w:ascii="Cambria" w:eastAsiaTheme="minorEastAsia" w:hAnsi="Cambria"/>
      <w:i/>
      <w:color w:val="FFFFFF" w:themeColor="background1"/>
      <w:spacing w:val="15"/>
      <w:sz w:val="32"/>
    </w:rPr>
  </w:style>
  <w:style w:type="character" w:styleId="SubtleEmphasis">
    <w:name w:val="Subtle Emphasis"/>
    <w:basedOn w:val="DefaultParagraphFont"/>
    <w:uiPriority w:val="19"/>
    <w:qFormat/>
    <w:rsid w:val="005C2287"/>
    <w:rPr>
      <w:rFonts w:ascii="Cambria" w:hAnsi="Cambria"/>
      <w:i/>
      <w:iCs/>
      <w:color w:val="FFFFFF" w:themeColor="background1"/>
      <w:sz w:val="24"/>
    </w:rPr>
  </w:style>
  <w:style w:type="character" w:styleId="Emphasis">
    <w:name w:val="Emphasis"/>
    <w:basedOn w:val="DefaultParagraphFont"/>
    <w:uiPriority w:val="20"/>
    <w:qFormat/>
    <w:rsid w:val="00E20E21"/>
    <w:rPr>
      <w:i/>
      <w:iCs/>
    </w:rPr>
  </w:style>
  <w:style w:type="character" w:styleId="IntenseEmphasis">
    <w:name w:val="Intense Emphasis"/>
    <w:basedOn w:val="DefaultParagraphFont"/>
    <w:uiPriority w:val="21"/>
    <w:qFormat/>
    <w:rsid w:val="00C94940"/>
    <w:rPr>
      <w:i/>
      <w:iCs/>
      <w:color w:val="25A570" w:themeColor="accent5"/>
    </w:rPr>
  </w:style>
  <w:style w:type="character" w:styleId="Strong">
    <w:name w:val="Strong"/>
    <w:basedOn w:val="DefaultParagraphFont"/>
    <w:uiPriority w:val="22"/>
    <w:rsid w:val="00E20E21"/>
    <w:rPr>
      <w:b/>
      <w:bCs/>
    </w:rPr>
  </w:style>
  <w:style w:type="paragraph" w:styleId="Quote">
    <w:name w:val="Quote"/>
    <w:basedOn w:val="Normal"/>
    <w:next w:val="Normal"/>
    <w:link w:val="QuoteChar"/>
    <w:uiPriority w:val="29"/>
    <w:qFormat/>
    <w:rsid w:val="006F15A9"/>
    <w:pPr>
      <w:spacing w:before="200"/>
      <w:ind w:left="720" w:right="864"/>
      <w:jc w:val="both"/>
    </w:pPr>
    <w:rPr>
      <w:i/>
      <w:iCs/>
      <w:color w:val="000000" w:themeColor="text1"/>
    </w:rPr>
  </w:style>
  <w:style w:type="character" w:customStyle="1" w:styleId="QuoteChar">
    <w:name w:val="Quote Char"/>
    <w:basedOn w:val="DefaultParagraphFont"/>
    <w:link w:val="Quote"/>
    <w:uiPriority w:val="29"/>
    <w:rsid w:val="006F15A9"/>
    <w:rPr>
      <w:i/>
      <w:iCs/>
      <w:color w:val="000000" w:themeColor="text1"/>
    </w:rPr>
  </w:style>
  <w:style w:type="paragraph" w:styleId="Header">
    <w:name w:val="header"/>
    <w:basedOn w:val="Normal"/>
    <w:link w:val="HeaderChar"/>
    <w:uiPriority w:val="99"/>
    <w:unhideWhenUsed/>
    <w:rsid w:val="00E2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21"/>
  </w:style>
  <w:style w:type="paragraph" w:styleId="Footer">
    <w:name w:val="footer"/>
    <w:basedOn w:val="Normal"/>
    <w:link w:val="FooterChar"/>
    <w:uiPriority w:val="99"/>
    <w:unhideWhenUsed/>
    <w:rsid w:val="00E2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21"/>
  </w:style>
  <w:style w:type="character" w:customStyle="1" w:styleId="Heading6Char">
    <w:name w:val="Heading 6 Char"/>
    <w:basedOn w:val="DefaultParagraphFont"/>
    <w:link w:val="Heading6"/>
    <w:uiPriority w:val="9"/>
    <w:rsid w:val="00E20E21"/>
    <w:rPr>
      <w:rFonts w:asciiTheme="majorHAnsi" w:eastAsiaTheme="majorEastAsia" w:hAnsiTheme="majorHAnsi" w:cstheme="majorBidi"/>
      <w:color w:val="0C4868" w:themeColor="accent1" w:themeShade="7F"/>
    </w:rPr>
  </w:style>
  <w:style w:type="paragraph" w:styleId="ListParagraph">
    <w:name w:val="List Paragraph"/>
    <w:basedOn w:val="Normal"/>
    <w:autoRedefine/>
    <w:uiPriority w:val="34"/>
    <w:qFormat/>
    <w:rsid w:val="00546BE2"/>
    <w:pPr>
      <w:numPr>
        <w:numId w:val="36"/>
      </w:numPr>
      <w:spacing w:after="120"/>
      <w:contextualSpacing/>
    </w:pPr>
  </w:style>
  <w:style w:type="paragraph" w:customStyle="1" w:styleId="Body">
    <w:name w:val="Body"/>
    <w:rsid w:val="006F15A9"/>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table" w:styleId="TableGrid">
    <w:name w:val="Table Grid"/>
    <w:basedOn w:val="TableNormal"/>
    <w:uiPriority w:val="59"/>
    <w:rsid w:val="006F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6F15A9"/>
    <w:pPr>
      <w:spacing w:after="0" w:line="240" w:lineRule="auto"/>
    </w:pPr>
    <w:tblPr>
      <w:tblStyleRowBandSize w:val="1"/>
      <w:tblStyleColBandSize w:val="1"/>
      <w:tblBorders>
        <w:top w:val="single" w:sz="4" w:space="0" w:color="1893D1" w:themeColor="accent1"/>
        <w:left w:val="single" w:sz="4" w:space="0" w:color="1893D1" w:themeColor="accent1"/>
        <w:bottom w:val="single" w:sz="4" w:space="0" w:color="1893D1" w:themeColor="accent1"/>
        <w:right w:val="single" w:sz="4" w:space="0" w:color="1893D1" w:themeColor="accent1"/>
      </w:tblBorders>
    </w:tblPr>
    <w:tblStylePr w:type="firstRow">
      <w:rPr>
        <w:b/>
        <w:bCs/>
        <w:color w:val="FFFFFF" w:themeColor="background1"/>
      </w:rPr>
      <w:tblPr/>
      <w:tcPr>
        <w:shd w:val="clear" w:color="auto" w:fill="1893D1" w:themeFill="accent1"/>
      </w:tcPr>
    </w:tblStylePr>
    <w:tblStylePr w:type="lastRow">
      <w:rPr>
        <w:b/>
        <w:bCs/>
      </w:rPr>
      <w:tblPr/>
      <w:tcPr>
        <w:tcBorders>
          <w:top w:val="double" w:sz="4" w:space="0" w:color="1893D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D1" w:themeColor="accent1"/>
          <w:right w:val="single" w:sz="4" w:space="0" w:color="1893D1" w:themeColor="accent1"/>
        </w:tcBorders>
      </w:tcPr>
    </w:tblStylePr>
    <w:tblStylePr w:type="band1Horz">
      <w:tblPr/>
      <w:tcPr>
        <w:tcBorders>
          <w:top w:val="single" w:sz="4" w:space="0" w:color="1893D1" w:themeColor="accent1"/>
          <w:bottom w:val="single" w:sz="4" w:space="0" w:color="1893D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D1" w:themeColor="accent1"/>
          <w:left w:val="nil"/>
        </w:tcBorders>
      </w:tcPr>
    </w:tblStylePr>
    <w:tblStylePr w:type="swCell">
      <w:tblPr/>
      <w:tcPr>
        <w:tcBorders>
          <w:top w:val="double" w:sz="4" w:space="0" w:color="1893D1" w:themeColor="accent1"/>
          <w:right w:val="nil"/>
        </w:tcBorders>
      </w:tcPr>
    </w:tblStylePr>
  </w:style>
  <w:style w:type="table" w:styleId="ListTable3-Accent3">
    <w:name w:val="List Table 3 Accent 3"/>
    <w:basedOn w:val="TableNormal"/>
    <w:uiPriority w:val="48"/>
    <w:rsid w:val="006F15A9"/>
    <w:pPr>
      <w:spacing w:after="0" w:line="240" w:lineRule="auto"/>
    </w:pPr>
    <w:tblPr>
      <w:tblStyleRowBandSize w:val="1"/>
      <w:tblStyleColBandSize w:val="1"/>
      <w:tblBorders>
        <w:top w:val="single" w:sz="4" w:space="0" w:color="F26652" w:themeColor="accent3"/>
        <w:left w:val="single" w:sz="4" w:space="0" w:color="F26652" w:themeColor="accent3"/>
        <w:bottom w:val="single" w:sz="4" w:space="0" w:color="F26652" w:themeColor="accent3"/>
        <w:right w:val="single" w:sz="4" w:space="0" w:color="F26652" w:themeColor="accent3"/>
      </w:tblBorders>
    </w:tblPr>
    <w:tblStylePr w:type="firstRow">
      <w:rPr>
        <w:b/>
        <w:bCs/>
        <w:color w:val="FFFFFF" w:themeColor="background1"/>
      </w:rPr>
      <w:tblPr/>
      <w:tcPr>
        <w:shd w:val="clear" w:color="auto" w:fill="F26652" w:themeFill="accent3"/>
      </w:tcPr>
    </w:tblStylePr>
    <w:tblStylePr w:type="lastRow">
      <w:rPr>
        <w:b/>
        <w:bCs/>
      </w:rPr>
      <w:tblPr/>
      <w:tcPr>
        <w:tcBorders>
          <w:top w:val="double" w:sz="4" w:space="0" w:color="F266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6652" w:themeColor="accent3"/>
          <w:right w:val="single" w:sz="4" w:space="0" w:color="F26652" w:themeColor="accent3"/>
        </w:tcBorders>
      </w:tcPr>
    </w:tblStylePr>
    <w:tblStylePr w:type="band1Horz">
      <w:tblPr/>
      <w:tcPr>
        <w:tcBorders>
          <w:top w:val="single" w:sz="4" w:space="0" w:color="F26652" w:themeColor="accent3"/>
          <w:bottom w:val="single" w:sz="4" w:space="0" w:color="F266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6652" w:themeColor="accent3"/>
          <w:left w:val="nil"/>
        </w:tcBorders>
      </w:tcPr>
    </w:tblStylePr>
    <w:tblStylePr w:type="swCell">
      <w:tblPr/>
      <w:tcPr>
        <w:tcBorders>
          <w:top w:val="double" w:sz="4" w:space="0" w:color="F26652" w:themeColor="accent3"/>
          <w:right w:val="nil"/>
        </w:tcBorders>
      </w:tcPr>
    </w:tblStylePr>
  </w:style>
  <w:style w:type="character" w:styleId="SubtleReference">
    <w:name w:val="Subtle Reference"/>
    <w:basedOn w:val="DefaultParagraphFont"/>
    <w:uiPriority w:val="31"/>
    <w:qFormat/>
    <w:rsid w:val="004B725D"/>
    <w:rPr>
      <w:smallCaps/>
      <w:color w:val="auto"/>
    </w:rPr>
  </w:style>
  <w:style w:type="character" w:styleId="IntenseReference">
    <w:name w:val="Intense Reference"/>
    <w:basedOn w:val="DefaultParagraphFont"/>
    <w:uiPriority w:val="32"/>
    <w:qFormat/>
    <w:rsid w:val="00C94940"/>
    <w:rPr>
      <w:b/>
      <w:bCs/>
      <w:smallCaps/>
      <w:color w:val="25A570" w:themeColor="accent5"/>
      <w:spacing w:val="5"/>
    </w:rPr>
  </w:style>
  <w:style w:type="paragraph" w:styleId="IntenseQuote">
    <w:name w:val="Intense Quote"/>
    <w:basedOn w:val="Normal"/>
    <w:next w:val="Normal"/>
    <w:link w:val="IntenseQuoteChar"/>
    <w:autoRedefine/>
    <w:uiPriority w:val="30"/>
    <w:qFormat/>
    <w:rsid w:val="00C94940"/>
    <w:pPr>
      <w:pBdr>
        <w:top w:val="single" w:sz="4" w:space="10" w:color="25A570" w:themeColor="accent5"/>
        <w:bottom w:val="single" w:sz="4" w:space="10" w:color="25A570" w:themeColor="accent5"/>
      </w:pBdr>
      <w:spacing w:before="240" w:after="360"/>
      <w:ind w:left="360" w:right="360"/>
      <w:jc w:val="center"/>
    </w:pPr>
    <w:rPr>
      <w:b/>
      <w:iCs/>
      <w:color w:val="4F4E56" w:themeColor="accent6"/>
      <w:sz w:val="24"/>
    </w:rPr>
  </w:style>
  <w:style w:type="character" w:customStyle="1" w:styleId="IntenseQuoteChar">
    <w:name w:val="Intense Quote Char"/>
    <w:basedOn w:val="DefaultParagraphFont"/>
    <w:link w:val="IntenseQuote"/>
    <w:uiPriority w:val="30"/>
    <w:rsid w:val="00C94940"/>
    <w:rPr>
      <w:b/>
      <w:iCs/>
      <w:color w:val="4F4E56" w:themeColor="accent6"/>
      <w:sz w:val="24"/>
    </w:rPr>
  </w:style>
  <w:style w:type="character" w:styleId="CommentReference">
    <w:name w:val="annotation reference"/>
    <w:basedOn w:val="DefaultParagraphFont"/>
    <w:uiPriority w:val="99"/>
    <w:semiHidden/>
    <w:unhideWhenUsed/>
    <w:rsid w:val="0026679D"/>
    <w:rPr>
      <w:sz w:val="16"/>
      <w:szCs w:val="16"/>
    </w:rPr>
  </w:style>
  <w:style w:type="paragraph" w:styleId="CommentText">
    <w:name w:val="annotation text"/>
    <w:basedOn w:val="Normal"/>
    <w:link w:val="CommentTextChar"/>
    <w:uiPriority w:val="99"/>
    <w:semiHidden/>
    <w:unhideWhenUsed/>
    <w:rsid w:val="0026679D"/>
    <w:pPr>
      <w:spacing w:line="240" w:lineRule="auto"/>
    </w:pPr>
    <w:rPr>
      <w:szCs w:val="20"/>
    </w:rPr>
  </w:style>
  <w:style w:type="character" w:customStyle="1" w:styleId="CommentTextChar">
    <w:name w:val="Comment Text Char"/>
    <w:basedOn w:val="DefaultParagraphFont"/>
    <w:link w:val="CommentText"/>
    <w:uiPriority w:val="99"/>
    <w:semiHidden/>
    <w:rsid w:val="0026679D"/>
    <w:rPr>
      <w:sz w:val="20"/>
      <w:szCs w:val="20"/>
    </w:rPr>
  </w:style>
  <w:style w:type="paragraph" w:styleId="CommentSubject">
    <w:name w:val="annotation subject"/>
    <w:basedOn w:val="CommentText"/>
    <w:next w:val="CommentText"/>
    <w:link w:val="CommentSubjectChar"/>
    <w:uiPriority w:val="99"/>
    <w:semiHidden/>
    <w:unhideWhenUsed/>
    <w:rsid w:val="0026679D"/>
    <w:rPr>
      <w:b/>
      <w:bCs/>
    </w:rPr>
  </w:style>
  <w:style w:type="character" w:customStyle="1" w:styleId="CommentSubjectChar">
    <w:name w:val="Comment Subject Char"/>
    <w:basedOn w:val="CommentTextChar"/>
    <w:link w:val="CommentSubject"/>
    <w:uiPriority w:val="99"/>
    <w:semiHidden/>
    <w:rsid w:val="0026679D"/>
    <w:rPr>
      <w:b/>
      <w:bCs/>
      <w:sz w:val="20"/>
      <w:szCs w:val="20"/>
    </w:rPr>
  </w:style>
  <w:style w:type="paragraph" w:styleId="BalloonText">
    <w:name w:val="Balloon Text"/>
    <w:basedOn w:val="Normal"/>
    <w:link w:val="BalloonTextChar"/>
    <w:uiPriority w:val="99"/>
    <w:semiHidden/>
    <w:unhideWhenUsed/>
    <w:rsid w:val="00266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79D"/>
    <w:rPr>
      <w:rFonts w:ascii="Segoe UI" w:hAnsi="Segoe UI" w:cs="Segoe UI"/>
      <w:sz w:val="18"/>
      <w:szCs w:val="18"/>
    </w:rPr>
  </w:style>
  <w:style w:type="character" w:customStyle="1" w:styleId="Page">
    <w:name w:val="Page #"/>
    <w:basedOn w:val="DefaultParagraphFont"/>
    <w:uiPriority w:val="1"/>
    <w:qFormat/>
    <w:rsid w:val="00C94940"/>
    <w:rPr>
      <w:rFonts w:asciiTheme="minorHAnsi" w:hAnsiTheme="minorHAnsi"/>
      <w:b w:val="0"/>
      <w:i w:val="0"/>
      <w:color w:val="25A570" w:themeColor="accent5"/>
      <w:sz w:val="20"/>
      <w:szCs w:val="18"/>
    </w:rPr>
  </w:style>
  <w:style w:type="paragraph" w:styleId="Revision">
    <w:name w:val="Revision"/>
    <w:hidden/>
    <w:uiPriority w:val="99"/>
    <w:semiHidden/>
    <w:rsid w:val="00A531F8"/>
    <w:pPr>
      <w:spacing w:after="0" w:line="240" w:lineRule="auto"/>
    </w:pPr>
    <w:rPr>
      <w:sz w:val="20"/>
    </w:rPr>
  </w:style>
  <w:style w:type="character" w:styleId="Hyperlink">
    <w:name w:val="Hyperlink"/>
    <w:basedOn w:val="DefaultParagraphFont"/>
    <w:uiPriority w:val="99"/>
    <w:unhideWhenUsed/>
    <w:rsid w:val="00E60C7A"/>
    <w:rPr>
      <w:color w:val="0078C1" w:themeColor="hyperlink"/>
      <w:u w:val="single"/>
    </w:rPr>
  </w:style>
  <w:style w:type="character" w:styleId="FollowedHyperlink">
    <w:name w:val="FollowedHyperlink"/>
    <w:basedOn w:val="DefaultParagraphFont"/>
    <w:uiPriority w:val="99"/>
    <w:semiHidden/>
    <w:unhideWhenUsed/>
    <w:rsid w:val="00F04132"/>
    <w:rPr>
      <w:color w:val="798EA9" w:themeColor="followedHyperlink"/>
      <w:u w:val="single"/>
    </w:rPr>
  </w:style>
  <w:style w:type="paragraph" w:customStyle="1" w:styleId="Title-Tier1">
    <w:name w:val="Title - Tier 1"/>
    <w:basedOn w:val="Subtitle"/>
    <w:rsid w:val="00021ADD"/>
    <w:rPr>
      <w:i w:val="0"/>
    </w:rPr>
  </w:style>
  <w:style w:type="paragraph" w:customStyle="1" w:styleId="TableText">
    <w:name w:val="Table Text"/>
    <w:basedOn w:val="Normal"/>
    <w:autoRedefine/>
    <w:rsid w:val="00B75C00"/>
    <w:pPr>
      <w:spacing w:after="0" w:line="240" w:lineRule="auto"/>
      <w:contextualSpacing/>
      <w:jc w:val="center"/>
    </w:pPr>
    <w:rPr>
      <w:rFonts w:cstheme="minorHAnsi"/>
      <w:b/>
      <w:color w:val="4F4E56" w:themeColor="accent6"/>
      <w:szCs w:val="20"/>
    </w:rPr>
  </w:style>
  <w:style w:type="paragraph" w:customStyle="1" w:styleId="Footnote">
    <w:name w:val="Footnote"/>
    <w:basedOn w:val="Normal"/>
    <w:autoRedefine/>
    <w:rsid w:val="006553C1"/>
    <w:pPr>
      <w:spacing w:before="60"/>
    </w:pPr>
    <w:rPr>
      <w:i/>
      <w:color w:val="4F4E56" w:themeColor="accent6"/>
      <w:sz w:val="18"/>
      <w:szCs w:val="18"/>
    </w:rPr>
  </w:style>
  <w:style w:type="character" w:customStyle="1" w:styleId="apple-converted-space">
    <w:name w:val="apple-converted-space"/>
    <w:basedOn w:val="DefaultParagraphFont"/>
    <w:rsid w:val="008464C0"/>
  </w:style>
  <w:style w:type="character" w:customStyle="1" w:styleId="normaltextrun">
    <w:name w:val="normaltextrun"/>
    <w:basedOn w:val="DefaultParagraphFont"/>
    <w:rsid w:val="008464C0"/>
  </w:style>
  <w:style w:type="paragraph" w:customStyle="1" w:styleId="paragraph">
    <w:name w:val="paragraph"/>
    <w:basedOn w:val="Normal"/>
    <w:rsid w:val="00846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464C0"/>
  </w:style>
  <w:style w:type="paragraph" w:styleId="FootnoteText">
    <w:name w:val="footnote text"/>
    <w:basedOn w:val="Normal"/>
    <w:link w:val="FootnoteTextChar"/>
    <w:autoRedefine/>
    <w:uiPriority w:val="99"/>
    <w:semiHidden/>
    <w:unhideWhenUsed/>
    <w:rsid w:val="00163671"/>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63671"/>
    <w:rPr>
      <w:sz w:val="16"/>
      <w:szCs w:val="20"/>
    </w:rPr>
  </w:style>
  <w:style w:type="table" w:styleId="GridTable4-Accent5">
    <w:name w:val="Grid Table 4 Accent 5"/>
    <w:basedOn w:val="TableNormal"/>
    <w:uiPriority w:val="49"/>
    <w:rsid w:val="00F423B0"/>
    <w:pPr>
      <w:spacing w:after="0" w:line="240" w:lineRule="auto"/>
    </w:pPr>
    <w:tblPr>
      <w:tblStyleRowBandSize w:val="1"/>
      <w:tblStyleColBandSize w:val="1"/>
      <w:tblBorders>
        <w:top w:val="single" w:sz="4" w:space="0" w:color="67DDAC" w:themeColor="accent5" w:themeTint="99"/>
        <w:left w:val="single" w:sz="4" w:space="0" w:color="67DDAC" w:themeColor="accent5" w:themeTint="99"/>
        <w:bottom w:val="single" w:sz="4" w:space="0" w:color="67DDAC" w:themeColor="accent5" w:themeTint="99"/>
        <w:right w:val="single" w:sz="4" w:space="0" w:color="67DDAC" w:themeColor="accent5" w:themeTint="99"/>
        <w:insideH w:val="single" w:sz="4" w:space="0" w:color="67DDAC" w:themeColor="accent5" w:themeTint="99"/>
        <w:insideV w:val="single" w:sz="4" w:space="0" w:color="67DDAC" w:themeColor="accent5" w:themeTint="99"/>
      </w:tblBorders>
    </w:tblPr>
    <w:tblStylePr w:type="firstRow">
      <w:rPr>
        <w:b/>
        <w:bCs/>
        <w:color w:val="FFFFFF" w:themeColor="background1"/>
      </w:rPr>
      <w:tblPr/>
      <w:tcPr>
        <w:tcBorders>
          <w:top w:val="single" w:sz="4" w:space="0" w:color="25A570" w:themeColor="accent5"/>
          <w:left w:val="single" w:sz="4" w:space="0" w:color="25A570" w:themeColor="accent5"/>
          <w:bottom w:val="single" w:sz="4" w:space="0" w:color="25A570" w:themeColor="accent5"/>
          <w:right w:val="single" w:sz="4" w:space="0" w:color="25A570" w:themeColor="accent5"/>
          <w:insideH w:val="nil"/>
          <w:insideV w:val="nil"/>
        </w:tcBorders>
        <w:shd w:val="clear" w:color="auto" w:fill="25A570" w:themeFill="accent5"/>
      </w:tcPr>
    </w:tblStylePr>
    <w:tblStylePr w:type="lastRow">
      <w:rPr>
        <w:b/>
        <w:bCs/>
      </w:rPr>
      <w:tblPr/>
      <w:tcPr>
        <w:tcBorders>
          <w:top w:val="double" w:sz="4" w:space="0" w:color="25A570" w:themeColor="accent5"/>
        </w:tcBorders>
      </w:tcPr>
    </w:tblStylePr>
    <w:tblStylePr w:type="firstCol">
      <w:rPr>
        <w:b/>
        <w:bCs/>
      </w:rPr>
    </w:tblStylePr>
    <w:tblStylePr w:type="lastCol">
      <w:rPr>
        <w:b/>
        <w:bCs/>
      </w:rPr>
    </w:tblStylePr>
    <w:tblStylePr w:type="band1Vert">
      <w:tblPr/>
      <w:tcPr>
        <w:shd w:val="clear" w:color="auto" w:fill="CCF3E3" w:themeFill="accent5" w:themeFillTint="33"/>
      </w:tcPr>
    </w:tblStylePr>
    <w:tblStylePr w:type="band1Horz">
      <w:tblPr/>
      <w:tcPr>
        <w:shd w:val="clear" w:color="auto" w:fill="CCF3E3" w:themeFill="accent5" w:themeFillTint="33"/>
      </w:tcPr>
    </w:tblStylePr>
  </w:style>
  <w:style w:type="table" w:styleId="GridTable5Dark-Accent5">
    <w:name w:val="Grid Table 5 Dark Accent 5"/>
    <w:basedOn w:val="TableNormal"/>
    <w:uiPriority w:val="50"/>
    <w:rsid w:val="00F423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3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A57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A57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A57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A570" w:themeFill="accent5"/>
      </w:tcPr>
    </w:tblStylePr>
    <w:tblStylePr w:type="band1Vert">
      <w:tblPr/>
      <w:tcPr>
        <w:shd w:val="clear" w:color="auto" w:fill="9AE8C7" w:themeFill="accent5" w:themeFillTint="66"/>
      </w:tcPr>
    </w:tblStylePr>
    <w:tblStylePr w:type="band1Horz">
      <w:tblPr/>
      <w:tcPr>
        <w:shd w:val="clear" w:color="auto" w:fill="9AE8C7" w:themeFill="accent5" w:themeFillTint="66"/>
      </w:tcPr>
    </w:tblStylePr>
  </w:style>
  <w:style w:type="table" w:styleId="GridTable3-Accent5">
    <w:name w:val="Grid Table 3 Accent 5"/>
    <w:basedOn w:val="TableNormal"/>
    <w:uiPriority w:val="48"/>
    <w:rsid w:val="00F423B0"/>
    <w:pPr>
      <w:spacing w:after="0" w:line="240" w:lineRule="auto"/>
    </w:pPr>
    <w:tblPr>
      <w:tblStyleRowBandSize w:val="1"/>
      <w:tblStyleColBandSize w:val="1"/>
      <w:tblBorders>
        <w:top w:val="single" w:sz="4" w:space="0" w:color="67DDAC" w:themeColor="accent5" w:themeTint="99"/>
        <w:left w:val="single" w:sz="4" w:space="0" w:color="67DDAC" w:themeColor="accent5" w:themeTint="99"/>
        <w:bottom w:val="single" w:sz="4" w:space="0" w:color="67DDAC" w:themeColor="accent5" w:themeTint="99"/>
        <w:right w:val="single" w:sz="4" w:space="0" w:color="67DDAC" w:themeColor="accent5" w:themeTint="99"/>
        <w:insideH w:val="single" w:sz="4" w:space="0" w:color="67DDAC" w:themeColor="accent5" w:themeTint="99"/>
        <w:insideV w:val="single" w:sz="4" w:space="0" w:color="67DDA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3E3" w:themeFill="accent5" w:themeFillTint="33"/>
      </w:tcPr>
    </w:tblStylePr>
    <w:tblStylePr w:type="band1Horz">
      <w:tblPr/>
      <w:tcPr>
        <w:shd w:val="clear" w:color="auto" w:fill="CCF3E3" w:themeFill="accent5" w:themeFillTint="33"/>
      </w:tcPr>
    </w:tblStylePr>
    <w:tblStylePr w:type="neCell">
      <w:tblPr/>
      <w:tcPr>
        <w:tcBorders>
          <w:bottom w:val="single" w:sz="4" w:space="0" w:color="67DDAC" w:themeColor="accent5" w:themeTint="99"/>
        </w:tcBorders>
      </w:tcPr>
    </w:tblStylePr>
    <w:tblStylePr w:type="nwCell">
      <w:tblPr/>
      <w:tcPr>
        <w:tcBorders>
          <w:bottom w:val="single" w:sz="4" w:space="0" w:color="67DDAC" w:themeColor="accent5" w:themeTint="99"/>
        </w:tcBorders>
      </w:tcPr>
    </w:tblStylePr>
    <w:tblStylePr w:type="seCell">
      <w:tblPr/>
      <w:tcPr>
        <w:tcBorders>
          <w:top w:val="single" w:sz="4" w:space="0" w:color="67DDAC" w:themeColor="accent5" w:themeTint="99"/>
        </w:tcBorders>
      </w:tcPr>
    </w:tblStylePr>
    <w:tblStylePr w:type="swCell">
      <w:tblPr/>
      <w:tcPr>
        <w:tcBorders>
          <w:top w:val="single" w:sz="4" w:space="0" w:color="67DDAC" w:themeColor="accent5" w:themeTint="99"/>
        </w:tcBorders>
      </w:tcPr>
    </w:tblStylePr>
  </w:style>
  <w:style w:type="table" w:styleId="GridTable4-Accent4">
    <w:name w:val="Grid Table 4 Accent 4"/>
    <w:basedOn w:val="TableNormal"/>
    <w:uiPriority w:val="49"/>
    <w:rsid w:val="00F423B0"/>
    <w:pPr>
      <w:spacing w:after="0" w:line="240" w:lineRule="auto"/>
    </w:pPr>
    <w:tblPr>
      <w:tblStyleRowBandSize w:val="1"/>
      <w:tblStyleColBandSize w:val="1"/>
      <w:tblBorders>
        <w:top w:val="single" w:sz="4" w:space="0" w:color="DBABCE" w:themeColor="accent4" w:themeTint="99"/>
        <w:left w:val="single" w:sz="4" w:space="0" w:color="DBABCE" w:themeColor="accent4" w:themeTint="99"/>
        <w:bottom w:val="single" w:sz="4" w:space="0" w:color="DBABCE" w:themeColor="accent4" w:themeTint="99"/>
        <w:right w:val="single" w:sz="4" w:space="0" w:color="DBABCE" w:themeColor="accent4" w:themeTint="99"/>
        <w:insideH w:val="single" w:sz="4" w:space="0" w:color="DBABCE" w:themeColor="accent4" w:themeTint="99"/>
        <w:insideV w:val="single" w:sz="4" w:space="0" w:color="DBABCE" w:themeColor="accent4" w:themeTint="99"/>
      </w:tblBorders>
    </w:tblPr>
    <w:tblStylePr w:type="firstRow">
      <w:rPr>
        <w:b/>
        <w:bCs/>
        <w:color w:val="FFFFFF" w:themeColor="background1"/>
      </w:rPr>
      <w:tblPr/>
      <w:tcPr>
        <w:tcBorders>
          <w:top w:val="single" w:sz="4" w:space="0" w:color="C374AF" w:themeColor="accent4"/>
          <w:left w:val="single" w:sz="4" w:space="0" w:color="C374AF" w:themeColor="accent4"/>
          <w:bottom w:val="single" w:sz="4" w:space="0" w:color="C374AF" w:themeColor="accent4"/>
          <w:right w:val="single" w:sz="4" w:space="0" w:color="C374AF" w:themeColor="accent4"/>
          <w:insideH w:val="nil"/>
          <w:insideV w:val="nil"/>
        </w:tcBorders>
        <w:shd w:val="clear" w:color="auto" w:fill="C374AF" w:themeFill="accent4"/>
      </w:tcPr>
    </w:tblStylePr>
    <w:tblStylePr w:type="lastRow">
      <w:rPr>
        <w:b/>
        <w:bCs/>
      </w:rPr>
      <w:tblPr/>
      <w:tcPr>
        <w:tcBorders>
          <w:top w:val="double" w:sz="4" w:space="0" w:color="C374AF" w:themeColor="accent4"/>
        </w:tcBorders>
      </w:tcPr>
    </w:tblStylePr>
    <w:tblStylePr w:type="firstCol">
      <w:rPr>
        <w:b/>
        <w:bCs/>
      </w:rPr>
    </w:tblStylePr>
    <w:tblStylePr w:type="lastCol">
      <w:rPr>
        <w:b/>
        <w:bCs/>
      </w:rPr>
    </w:tblStylePr>
    <w:tblStylePr w:type="band1Vert">
      <w:tblPr/>
      <w:tcPr>
        <w:shd w:val="clear" w:color="auto" w:fill="F3E3EE" w:themeFill="accent4" w:themeFillTint="33"/>
      </w:tcPr>
    </w:tblStylePr>
    <w:tblStylePr w:type="band1Horz">
      <w:tblPr/>
      <w:tcPr>
        <w:shd w:val="clear" w:color="auto" w:fill="F3E3EE" w:themeFill="accent4" w:themeFillTint="33"/>
      </w:tcPr>
    </w:tblStylePr>
  </w:style>
  <w:style w:type="table" w:styleId="GridTable5Dark-Accent4">
    <w:name w:val="Grid Table 5 Dark Accent 4"/>
    <w:basedOn w:val="TableNormal"/>
    <w:uiPriority w:val="50"/>
    <w:rsid w:val="00F423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3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74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74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74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74AF" w:themeFill="accent4"/>
      </w:tcPr>
    </w:tblStylePr>
    <w:tblStylePr w:type="band1Vert">
      <w:tblPr/>
      <w:tcPr>
        <w:shd w:val="clear" w:color="auto" w:fill="E7C7DE" w:themeFill="accent4" w:themeFillTint="66"/>
      </w:tcPr>
    </w:tblStylePr>
    <w:tblStylePr w:type="band1Horz">
      <w:tblPr/>
      <w:tcPr>
        <w:shd w:val="clear" w:color="auto" w:fill="E7C7DE" w:themeFill="accent4" w:themeFillTint="66"/>
      </w:tcPr>
    </w:tblStylePr>
  </w:style>
  <w:style w:type="table" w:styleId="GridTable3-Accent4">
    <w:name w:val="Grid Table 3 Accent 4"/>
    <w:basedOn w:val="TableNormal"/>
    <w:uiPriority w:val="48"/>
    <w:rsid w:val="00F423B0"/>
    <w:pPr>
      <w:spacing w:after="0" w:line="240" w:lineRule="auto"/>
    </w:pPr>
    <w:tblPr>
      <w:tblStyleRowBandSize w:val="1"/>
      <w:tblStyleColBandSize w:val="1"/>
      <w:tblBorders>
        <w:top w:val="single" w:sz="4" w:space="0" w:color="DBABCE" w:themeColor="accent4" w:themeTint="99"/>
        <w:left w:val="single" w:sz="4" w:space="0" w:color="DBABCE" w:themeColor="accent4" w:themeTint="99"/>
        <w:bottom w:val="single" w:sz="4" w:space="0" w:color="DBABCE" w:themeColor="accent4" w:themeTint="99"/>
        <w:right w:val="single" w:sz="4" w:space="0" w:color="DBABCE" w:themeColor="accent4" w:themeTint="99"/>
        <w:insideH w:val="single" w:sz="4" w:space="0" w:color="DBABCE" w:themeColor="accent4" w:themeTint="99"/>
        <w:insideV w:val="single" w:sz="4" w:space="0" w:color="DBAB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3EE" w:themeFill="accent4" w:themeFillTint="33"/>
      </w:tcPr>
    </w:tblStylePr>
    <w:tblStylePr w:type="band1Horz">
      <w:tblPr/>
      <w:tcPr>
        <w:shd w:val="clear" w:color="auto" w:fill="F3E3EE" w:themeFill="accent4" w:themeFillTint="33"/>
      </w:tcPr>
    </w:tblStylePr>
    <w:tblStylePr w:type="neCell">
      <w:tblPr/>
      <w:tcPr>
        <w:tcBorders>
          <w:bottom w:val="single" w:sz="4" w:space="0" w:color="DBABCE" w:themeColor="accent4" w:themeTint="99"/>
        </w:tcBorders>
      </w:tcPr>
    </w:tblStylePr>
    <w:tblStylePr w:type="nwCell">
      <w:tblPr/>
      <w:tcPr>
        <w:tcBorders>
          <w:bottom w:val="single" w:sz="4" w:space="0" w:color="DBABCE" w:themeColor="accent4" w:themeTint="99"/>
        </w:tcBorders>
      </w:tcPr>
    </w:tblStylePr>
    <w:tblStylePr w:type="seCell">
      <w:tblPr/>
      <w:tcPr>
        <w:tcBorders>
          <w:top w:val="single" w:sz="4" w:space="0" w:color="DBABCE" w:themeColor="accent4" w:themeTint="99"/>
        </w:tcBorders>
      </w:tcPr>
    </w:tblStylePr>
    <w:tblStylePr w:type="swCell">
      <w:tblPr/>
      <w:tcPr>
        <w:tcBorders>
          <w:top w:val="single" w:sz="4" w:space="0" w:color="DBABCE" w:themeColor="accent4" w:themeTint="99"/>
        </w:tcBorders>
      </w:tcPr>
    </w:tblStylePr>
  </w:style>
  <w:style w:type="table" w:styleId="GridTable4-Accent1">
    <w:name w:val="Grid Table 4 Accent 1"/>
    <w:basedOn w:val="TableNormal"/>
    <w:uiPriority w:val="49"/>
    <w:rsid w:val="004C6F95"/>
    <w:pPr>
      <w:spacing w:after="0" w:line="240" w:lineRule="auto"/>
    </w:pPr>
    <w:tblPr>
      <w:tblStyleRowBandSize w:val="1"/>
      <w:tblStyleColBandSize w:val="1"/>
      <w:tblBorders>
        <w:top w:val="single" w:sz="4" w:space="0" w:color="69C1ED" w:themeColor="accent1" w:themeTint="99"/>
        <w:left w:val="single" w:sz="4" w:space="0" w:color="69C1ED" w:themeColor="accent1" w:themeTint="99"/>
        <w:bottom w:val="single" w:sz="4" w:space="0" w:color="69C1ED" w:themeColor="accent1" w:themeTint="99"/>
        <w:right w:val="single" w:sz="4" w:space="0" w:color="69C1ED" w:themeColor="accent1" w:themeTint="99"/>
        <w:insideH w:val="single" w:sz="4" w:space="0" w:color="69C1ED" w:themeColor="accent1" w:themeTint="99"/>
        <w:insideV w:val="single" w:sz="4" w:space="0" w:color="69C1ED" w:themeColor="accent1" w:themeTint="99"/>
      </w:tblBorders>
    </w:tblPr>
    <w:tblStylePr w:type="firstRow">
      <w:rPr>
        <w:b/>
        <w:bCs/>
        <w:color w:val="FFFFFF" w:themeColor="background1"/>
      </w:rPr>
      <w:tblPr/>
      <w:tcPr>
        <w:tcBorders>
          <w:top w:val="single" w:sz="4" w:space="0" w:color="1893D1" w:themeColor="accent1"/>
          <w:left w:val="single" w:sz="4" w:space="0" w:color="1893D1" w:themeColor="accent1"/>
          <w:bottom w:val="single" w:sz="4" w:space="0" w:color="1893D1" w:themeColor="accent1"/>
          <w:right w:val="single" w:sz="4" w:space="0" w:color="1893D1" w:themeColor="accent1"/>
          <w:insideH w:val="nil"/>
          <w:insideV w:val="nil"/>
        </w:tcBorders>
        <w:shd w:val="clear" w:color="auto" w:fill="1893D1" w:themeFill="accent1"/>
      </w:tcPr>
    </w:tblStylePr>
    <w:tblStylePr w:type="lastRow">
      <w:rPr>
        <w:b/>
        <w:bCs/>
      </w:rPr>
      <w:tblPr/>
      <w:tcPr>
        <w:tcBorders>
          <w:top w:val="double" w:sz="4" w:space="0" w:color="1893D1" w:themeColor="accent1"/>
        </w:tcBorders>
      </w:tcPr>
    </w:tblStylePr>
    <w:tblStylePr w:type="firstCol">
      <w:rPr>
        <w:b/>
        <w:bCs/>
      </w:rPr>
    </w:tblStylePr>
    <w:tblStylePr w:type="lastCol">
      <w:rPr>
        <w:b/>
        <w:bCs/>
      </w:rPr>
    </w:tblStylePr>
    <w:tblStylePr w:type="band1Vert">
      <w:tblPr/>
      <w:tcPr>
        <w:shd w:val="clear" w:color="auto" w:fill="CDEAF9" w:themeFill="accent1" w:themeFillTint="33"/>
      </w:tcPr>
    </w:tblStylePr>
    <w:tblStylePr w:type="band1Horz">
      <w:tblPr/>
      <w:tcPr>
        <w:shd w:val="clear" w:color="auto" w:fill="CDEAF9" w:themeFill="accent1" w:themeFillTint="33"/>
      </w:tcPr>
    </w:tblStylePr>
  </w:style>
  <w:style w:type="table" w:styleId="GridTable5Dark-Accent1">
    <w:name w:val="Grid Table 5 Dark Accent 1"/>
    <w:basedOn w:val="TableNormal"/>
    <w:uiPriority w:val="50"/>
    <w:rsid w:val="004C6F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A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D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D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D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D1" w:themeFill="accent1"/>
      </w:tcPr>
    </w:tblStylePr>
    <w:tblStylePr w:type="band1Vert">
      <w:tblPr/>
      <w:tcPr>
        <w:shd w:val="clear" w:color="auto" w:fill="9BD5F3" w:themeFill="accent1" w:themeFillTint="66"/>
      </w:tcPr>
    </w:tblStylePr>
    <w:tblStylePr w:type="band1Horz">
      <w:tblPr/>
      <w:tcPr>
        <w:shd w:val="clear" w:color="auto" w:fill="9BD5F3" w:themeFill="accent1" w:themeFillTint="66"/>
      </w:tcPr>
    </w:tblStylePr>
  </w:style>
  <w:style w:type="table" w:styleId="GridTable3-Accent1">
    <w:name w:val="Grid Table 3 Accent 1"/>
    <w:basedOn w:val="TableNormal"/>
    <w:uiPriority w:val="48"/>
    <w:rsid w:val="004C6F95"/>
    <w:pPr>
      <w:spacing w:after="0" w:line="240" w:lineRule="auto"/>
    </w:pPr>
    <w:tblPr>
      <w:tblStyleRowBandSize w:val="1"/>
      <w:tblStyleColBandSize w:val="1"/>
      <w:tblBorders>
        <w:top w:val="single" w:sz="4" w:space="0" w:color="69C1ED" w:themeColor="accent1" w:themeTint="99"/>
        <w:left w:val="single" w:sz="4" w:space="0" w:color="69C1ED" w:themeColor="accent1" w:themeTint="99"/>
        <w:bottom w:val="single" w:sz="4" w:space="0" w:color="69C1ED" w:themeColor="accent1" w:themeTint="99"/>
        <w:right w:val="single" w:sz="4" w:space="0" w:color="69C1ED" w:themeColor="accent1" w:themeTint="99"/>
        <w:insideH w:val="single" w:sz="4" w:space="0" w:color="69C1ED" w:themeColor="accent1" w:themeTint="99"/>
        <w:insideV w:val="single" w:sz="4" w:space="0" w:color="69C1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AF9" w:themeFill="accent1" w:themeFillTint="33"/>
      </w:tcPr>
    </w:tblStylePr>
    <w:tblStylePr w:type="band1Horz">
      <w:tblPr/>
      <w:tcPr>
        <w:shd w:val="clear" w:color="auto" w:fill="CDEAF9" w:themeFill="accent1" w:themeFillTint="33"/>
      </w:tcPr>
    </w:tblStylePr>
    <w:tblStylePr w:type="neCell">
      <w:tblPr/>
      <w:tcPr>
        <w:tcBorders>
          <w:bottom w:val="single" w:sz="4" w:space="0" w:color="69C1ED" w:themeColor="accent1" w:themeTint="99"/>
        </w:tcBorders>
      </w:tcPr>
    </w:tblStylePr>
    <w:tblStylePr w:type="nwCell">
      <w:tblPr/>
      <w:tcPr>
        <w:tcBorders>
          <w:bottom w:val="single" w:sz="4" w:space="0" w:color="69C1ED" w:themeColor="accent1" w:themeTint="99"/>
        </w:tcBorders>
      </w:tcPr>
    </w:tblStylePr>
    <w:tblStylePr w:type="seCell">
      <w:tblPr/>
      <w:tcPr>
        <w:tcBorders>
          <w:top w:val="single" w:sz="4" w:space="0" w:color="69C1ED" w:themeColor="accent1" w:themeTint="99"/>
        </w:tcBorders>
      </w:tcPr>
    </w:tblStylePr>
    <w:tblStylePr w:type="swCell">
      <w:tblPr/>
      <w:tcPr>
        <w:tcBorders>
          <w:top w:val="single" w:sz="4" w:space="0" w:color="69C1ED" w:themeColor="accent1" w:themeTint="99"/>
        </w:tcBorders>
      </w:tcPr>
    </w:tblStylePr>
  </w:style>
  <w:style w:type="character" w:customStyle="1" w:styleId="advancedproofingissue">
    <w:name w:val="advancedproofingissue"/>
    <w:basedOn w:val="DefaultParagraphFont"/>
    <w:rsid w:val="001A0464"/>
  </w:style>
  <w:style w:type="character" w:customStyle="1" w:styleId="contextualspellingandgrammarerror">
    <w:name w:val="contextualspellingandgrammarerror"/>
    <w:basedOn w:val="DefaultParagraphFont"/>
    <w:rsid w:val="001A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1332">
      <w:bodyDiv w:val="1"/>
      <w:marLeft w:val="0"/>
      <w:marRight w:val="0"/>
      <w:marTop w:val="0"/>
      <w:marBottom w:val="0"/>
      <w:divBdr>
        <w:top w:val="none" w:sz="0" w:space="0" w:color="auto"/>
        <w:left w:val="none" w:sz="0" w:space="0" w:color="auto"/>
        <w:bottom w:val="none" w:sz="0" w:space="0" w:color="auto"/>
        <w:right w:val="none" w:sz="0" w:space="0" w:color="auto"/>
      </w:divBdr>
    </w:div>
    <w:div w:id="172376222">
      <w:bodyDiv w:val="1"/>
      <w:marLeft w:val="0"/>
      <w:marRight w:val="0"/>
      <w:marTop w:val="0"/>
      <w:marBottom w:val="0"/>
      <w:divBdr>
        <w:top w:val="none" w:sz="0" w:space="0" w:color="auto"/>
        <w:left w:val="none" w:sz="0" w:space="0" w:color="auto"/>
        <w:bottom w:val="none" w:sz="0" w:space="0" w:color="auto"/>
        <w:right w:val="none" w:sz="0" w:space="0" w:color="auto"/>
      </w:divBdr>
    </w:div>
    <w:div w:id="396056719">
      <w:bodyDiv w:val="1"/>
      <w:marLeft w:val="0"/>
      <w:marRight w:val="0"/>
      <w:marTop w:val="0"/>
      <w:marBottom w:val="0"/>
      <w:divBdr>
        <w:top w:val="none" w:sz="0" w:space="0" w:color="auto"/>
        <w:left w:val="none" w:sz="0" w:space="0" w:color="auto"/>
        <w:bottom w:val="none" w:sz="0" w:space="0" w:color="auto"/>
        <w:right w:val="none" w:sz="0" w:space="0" w:color="auto"/>
      </w:divBdr>
      <w:divsChild>
        <w:div w:id="1433551905">
          <w:marLeft w:val="0"/>
          <w:marRight w:val="0"/>
          <w:marTop w:val="0"/>
          <w:marBottom w:val="0"/>
          <w:divBdr>
            <w:top w:val="none" w:sz="0" w:space="0" w:color="auto"/>
            <w:left w:val="none" w:sz="0" w:space="0" w:color="auto"/>
            <w:bottom w:val="none" w:sz="0" w:space="0" w:color="auto"/>
            <w:right w:val="none" w:sz="0" w:space="0" w:color="auto"/>
          </w:divBdr>
        </w:div>
        <w:div w:id="951396607">
          <w:marLeft w:val="0"/>
          <w:marRight w:val="0"/>
          <w:marTop w:val="0"/>
          <w:marBottom w:val="0"/>
          <w:divBdr>
            <w:top w:val="none" w:sz="0" w:space="0" w:color="auto"/>
            <w:left w:val="none" w:sz="0" w:space="0" w:color="auto"/>
            <w:bottom w:val="none" w:sz="0" w:space="0" w:color="auto"/>
            <w:right w:val="none" w:sz="0" w:space="0" w:color="auto"/>
          </w:divBdr>
        </w:div>
        <w:div w:id="1206992476">
          <w:marLeft w:val="0"/>
          <w:marRight w:val="0"/>
          <w:marTop w:val="0"/>
          <w:marBottom w:val="0"/>
          <w:divBdr>
            <w:top w:val="none" w:sz="0" w:space="0" w:color="auto"/>
            <w:left w:val="none" w:sz="0" w:space="0" w:color="auto"/>
            <w:bottom w:val="none" w:sz="0" w:space="0" w:color="auto"/>
            <w:right w:val="none" w:sz="0" w:space="0" w:color="auto"/>
          </w:divBdr>
        </w:div>
        <w:div w:id="1973552878">
          <w:marLeft w:val="0"/>
          <w:marRight w:val="0"/>
          <w:marTop w:val="0"/>
          <w:marBottom w:val="0"/>
          <w:divBdr>
            <w:top w:val="none" w:sz="0" w:space="0" w:color="auto"/>
            <w:left w:val="none" w:sz="0" w:space="0" w:color="auto"/>
            <w:bottom w:val="none" w:sz="0" w:space="0" w:color="auto"/>
            <w:right w:val="none" w:sz="0" w:space="0" w:color="auto"/>
          </w:divBdr>
        </w:div>
        <w:div w:id="1743793741">
          <w:marLeft w:val="0"/>
          <w:marRight w:val="0"/>
          <w:marTop w:val="0"/>
          <w:marBottom w:val="0"/>
          <w:divBdr>
            <w:top w:val="none" w:sz="0" w:space="0" w:color="auto"/>
            <w:left w:val="none" w:sz="0" w:space="0" w:color="auto"/>
            <w:bottom w:val="none" w:sz="0" w:space="0" w:color="auto"/>
            <w:right w:val="none" w:sz="0" w:space="0" w:color="auto"/>
          </w:divBdr>
        </w:div>
        <w:div w:id="1546138384">
          <w:marLeft w:val="0"/>
          <w:marRight w:val="0"/>
          <w:marTop w:val="0"/>
          <w:marBottom w:val="0"/>
          <w:divBdr>
            <w:top w:val="none" w:sz="0" w:space="0" w:color="auto"/>
            <w:left w:val="none" w:sz="0" w:space="0" w:color="auto"/>
            <w:bottom w:val="none" w:sz="0" w:space="0" w:color="auto"/>
            <w:right w:val="none" w:sz="0" w:space="0" w:color="auto"/>
          </w:divBdr>
        </w:div>
        <w:div w:id="310864250">
          <w:marLeft w:val="0"/>
          <w:marRight w:val="0"/>
          <w:marTop w:val="0"/>
          <w:marBottom w:val="0"/>
          <w:divBdr>
            <w:top w:val="none" w:sz="0" w:space="0" w:color="auto"/>
            <w:left w:val="none" w:sz="0" w:space="0" w:color="auto"/>
            <w:bottom w:val="none" w:sz="0" w:space="0" w:color="auto"/>
            <w:right w:val="none" w:sz="0" w:space="0" w:color="auto"/>
          </w:divBdr>
        </w:div>
        <w:div w:id="284241767">
          <w:marLeft w:val="0"/>
          <w:marRight w:val="0"/>
          <w:marTop w:val="0"/>
          <w:marBottom w:val="0"/>
          <w:divBdr>
            <w:top w:val="none" w:sz="0" w:space="0" w:color="auto"/>
            <w:left w:val="none" w:sz="0" w:space="0" w:color="auto"/>
            <w:bottom w:val="none" w:sz="0" w:space="0" w:color="auto"/>
            <w:right w:val="none" w:sz="0" w:space="0" w:color="auto"/>
          </w:divBdr>
        </w:div>
        <w:div w:id="355010875">
          <w:marLeft w:val="0"/>
          <w:marRight w:val="0"/>
          <w:marTop w:val="0"/>
          <w:marBottom w:val="0"/>
          <w:divBdr>
            <w:top w:val="none" w:sz="0" w:space="0" w:color="auto"/>
            <w:left w:val="none" w:sz="0" w:space="0" w:color="auto"/>
            <w:bottom w:val="none" w:sz="0" w:space="0" w:color="auto"/>
            <w:right w:val="none" w:sz="0" w:space="0" w:color="auto"/>
          </w:divBdr>
        </w:div>
        <w:div w:id="604264645">
          <w:marLeft w:val="0"/>
          <w:marRight w:val="0"/>
          <w:marTop w:val="0"/>
          <w:marBottom w:val="0"/>
          <w:divBdr>
            <w:top w:val="none" w:sz="0" w:space="0" w:color="auto"/>
            <w:left w:val="none" w:sz="0" w:space="0" w:color="auto"/>
            <w:bottom w:val="none" w:sz="0" w:space="0" w:color="auto"/>
            <w:right w:val="none" w:sz="0" w:space="0" w:color="auto"/>
          </w:divBdr>
        </w:div>
        <w:div w:id="2002347748">
          <w:marLeft w:val="0"/>
          <w:marRight w:val="0"/>
          <w:marTop w:val="0"/>
          <w:marBottom w:val="0"/>
          <w:divBdr>
            <w:top w:val="none" w:sz="0" w:space="0" w:color="auto"/>
            <w:left w:val="none" w:sz="0" w:space="0" w:color="auto"/>
            <w:bottom w:val="none" w:sz="0" w:space="0" w:color="auto"/>
            <w:right w:val="none" w:sz="0" w:space="0" w:color="auto"/>
          </w:divBdr>
          <w:divsChild>
            <w:div w:id="729422129">
              <w:marLeft w:val="0"/>
              <w:marRight w:val="0"/>
              <w:marTop w:val="0"/>
              <w:marBottom w:val="0"/>
              <w:divBdr>
                <w:top w:val="none" w:sz="0" w:space="0" w:color="auto"/>
                <w:left w:val="none" w:sz="0" w:space="0" w:color="auto"/>
                <w:bottom w:val="none" w:sz="0" w:space="0" w:color="auto"/>
                <w:right w:val="none" w:sz="0" w:space="0" w:color="auto"/>
              </w:divBdr>
            </w:div>
            <w:div w:id="1944998969">
              <w:marLeft w:val="0"/>
              <w:marRight w:val="0"/>
              <w:marTop w:val="0"/>
              <w:marBottom w:val="0"/>
              <w:divBdr>
                <w:top w:val="none" w:sz="0" w:space="0" w:color="auto"/>
                <w:left w:val="none" w:sz="0" w:space="0" w:color="auto"/>
                <w:bottom w:val="none" w:sz="0" w:space="0" w:color="auto"/>
                <w:right w:val="none" w:sz="0" w:space="0" w:color="auto"/>
              </w:divBdr>
            </w:div>
            <w:div w:id="925454039">
              <w:marLeft w:val="0"/>
              <w:marRight w:val="0"/>
              <w:marTop w:val="0"/>
              <w:marBottom w:val="0"/>
              <w:divBdr>
                <w:top w:val="none" w:sz="0" w:space="0" w:color="auto"/>
                <w:left w:val="none" w:sz="0" w:space="0" w:color="auto"/>
                <w:bottom w:val="none" w:sz="0" w:space="0" w:color="auto"/>
                <w:right w:val="none" w:sz="0" w:space="0" w:color="auto"/>
              </w:divBdr>
            </w:div>
            <w:div w:id="1811164156">
              <w:marLeft w:val="0"/>
              <w:marRight w:val="0"/>
              <w:marTop w:val="0"/>
              <w:marBottom w:val="0"/>
              <w:divBdr>
                <w:top w:val="none" w:sz="0" w:space="0" w:color="auto"/>
                <w:left w:val="none" w:sz="0" w:space="0" w:color="auto"/>
                <w:bottom w:val="none" w:sz="0" w:space="0" w:color="auto"/>
                <w:right w:val="none" w:sz="0" w:space="0" w:color="auto"/>
              </w:divBdr>
            </w:div>
            <w:div w:id="1024482263">
              <w:marLeft w:val="0"/>
              <w:marRight w:val="0"/>
              <w:marTop w:val="0"/>
              <w:marBottom w:val="0"/>
              <w:divBdr>
                <w:top w:val="none" w:sz="0" w:space="0" w:color="auto"/>
                <w:left w:val="none" w:sz="0" w:space="0" w:color="auto"/>
                <w:bottom w:val="none" w:sz="0" w:space="0" w:color="auto"/>
                <w:right w:val="none" w:sz="0" w:space="0" w:color="auto"/>
              </w:divBdr>
            </w:div>
          </w:divsChild>
        </w:div>
        <w:div w:id="2040231799">
          <w:marLeft w:val="0"/>
          <w:marRight w:val="0"/>
          <w:marTop w:val="0"/>
          <w:marBottom w:val="0"/>
          <w:divBdr>
            <w:top w:val="none" w:sz="0" w:space="0" w:color="auto"/>
            <w:left w:val="none" w:sz="0" w:space="0" w:color="auto"/>
            <w:bottom w:val="none" w:sz="0" w:space="0" w:color="auto"/>
            <w:right w:val="none" w:sz="0" w:space="0" w:color="auto"/>
          </w:divBdr>
          <w:divsChild>
            <w:div w:id="698243232">
              <w:marLeft w:val="0"/>
              <w:marRight w:val="0"/>
              <w:marTop w:val="0"/>
              <w:marBottom w:val="0"/>
              <w:divBdr>
                <w:top w:val="none" w:sz="0" w:space="0" w:color="auto"/>
                <w:left w:val="none" w:sz="0" w:space="0" w:color="auto"/>
                <w:bottom w:val="none" w:sz="0" w:space="0" w:color="auto"/>
                <w:right w:val="none" w:sz="0" w:space="0" w:color="auto"/>
              </w:divBdr>
            </w:div>
            <w:div w:id="324744736">
              <w:marLeft w:val="0"/>
              <w:marRight w:val="0"/>
              <w:marTop w:val="0"/>
              <w:marBottom w:val="0"/>
              <w:divBdr>
                <w:top w:val="none" w:sz="0" w:space="0" w:color="auto"/>
                <w:left w:val="none" w:sz="0" w:space="0" w:color="auto"/>
                <w:bottom w:val="none" w:sz="0" w:space="0" w:color="auto"/>
                <w:right w:val="none" w:sz="0" w:space="0" w:color="auto"/>
              </w:divBdr>
            </w:div>
            <w:div w:id="1018656303">
              <w:marLeft w:val="0"/>
              <w:marRight w:val="0"/>
              <w:marTop w:val="0"/>
              <w:marBottom w:val="0"/>
              <w:divBdr>
                <w:top w:val="none" w:sz="0" w:space="0" w:color="auto"/>
                <w:left w:val="none" w:sz="0" w:space="0" w:color="auto"/>
                <w:bottom w:val="none" w:sz="0" w:space="0" w:color="auto"/>
                <w:right w:val="none" w:sz="0" w:space="0" w:color="auto"/>
              </w:divBdr>
            </w:div>
            <w:div w:id="796989911">
              <w:marLeft w:val="0"/>
              <w:marRight w:val="0"/>
              <w:marTop w:val="0"/>
              <w:marBottom w:val="0"/>
              <w:divBdr>
                <w:top w:val="none" w:sz="0" w:space="0" w:color="auto"/>
                <w:left w:val="none" w:sz="0" w:space="0" w:color="auto"/>
                <w:bottom w:val="none" w:sz="0" w:space="0" w:color="auto"/>
                <w:right w:val="none" w:sz="0" w:space="0" w:color="auto"/>
              </w:divBdr>
            </w:div>
            <w:div w:id="322008392">
              <w:marLeft w:val="0"/>
              <w:marRight w:val="0"/>
              <w:marTop w:val="0"/>
              <w:marBottom w:val="0"/>
              <w:divBdr>
                <w:top w:val="none" w:sz="0" w:space="0" w:color="auto"/>
                <w:left w:val="none" w:sz="0" w:space="0" w:color="auto"/>
                <w:bottom w:val="none" w:sz="0" w:space="0" w:color="auto"/>
                <w:right w:val="none" w:sz="0" w:space="0" w:color="auto"/>
              </w:divBdr>
            </w:div>
          </w:divsChild>
        </w:div>
        <w:div w:id="1235165462">
          <w:marLeft w:val="0"/>
          <w:marRight w:val="0"/>
          <w:marTop w:val="0"/>
          <w:marBottom w:val="0"/>
          <w:divBdr>
            <w:top w:val="none" w:sz="0" w:space="0" w:color="auto"/>
            <w:left w:val="none" w:sz="0" w:space="0" w:color="auto"/>
            <w:bottom w:val="none" w:sz="0" w:space="0" w:color="auto"/>
            <w:right w:val="none" w:sz="0" w:space="0" w:color="auto"/>
          </w:divBdr>
        </w:div>
        <w:div w:id="1209099699">
          <w:marLeft w:val="0"/>
          <w:marRight w:val="0"/>
          <w:marTop w:val="0"/>
          <w:marBottom w:val="0"/>
          <w:divBdr>
            <w:top w:val="none" w:sz="0" w:space="0" w:color="auto"/>
            <w:left w:val="none" w:sz="0" w:space="0" w:color="auto"/>
            <w:bottom w:val="none" w:sz="0" w:space="0" w:color="auto"/>
            <w:right w:val="none" w:sz="0" w:space="0" w:color="auto"/>
          </w:divBdr>
        </w:div>
      </w:divsChild>
    </w:div>
    <w:div w:id="499200541">
      <w:bodyDiv w:val="1"/>
      <w:marLeft w:val="0"/>
      <w:marRight w:val="0"/>
      <w:marTop w:val="0"/>
      <w:marBottom w:val="0"/>
      <w:divBdr>
        <w:top w:val="none" w:sz="0" w:space="0" w:color="auto"/>
        <w:left w:val="none" w:sz="0" w:space="0" w:color="auto"/>
        <w:bottom w:val="none" w:sz="0" w:space="0" w:color="auto"/>
        <w:right w:val="none" w:sz="0" w:space="0" w:color="auto"/>
      </w:divBdr>
    </w:div>
    <w:div w:id="562253604">
      <w:bodyDiv w:val="1"/>
      <w:marLeft w:val="0"/>
      <w:marRight w:val="0"/>
      <w:marTop w:val="0"/>
      <w:marBottom w:val="0"/>
      <w:divBdr>
        <w:top w:val="none" w:sz="0" w:space="0" w:color="auto"/>
        <w:left w:val="none" w:sz="0" w:space="0" w:color="auto"/>
        <w:bottom w:val="none" w:sz="0" w:space="0" w:color="auto"/>
        <w:right w:val="none" w:sz="0" w:space="0" w:color="auto"/>
      </w:divBdr>
    </w:div>
    <w:div w:id="580914288">
      <w:bodyDiv w:val="1"/>
      <w:marLeft w:val="0"/>
      <w:marRight w:val="0"/>
      <w:marTop w:val="0"/>
      <w:marBottom w:val="0"/>
      <w:divBdr>
        <w:top w:val="none" w:sz="0" w:space="0" w:color="auto"/>
        <w:left w:val="none" w:sz="0" w:space="0" w:color="auto"/>
        <w:bottom w:val="none" w:sz="0" w:space="0" w:color="auto"/>
        <w:right w:val="none" w:sz="0" w:space="0" w:color="auto"/>
      </w:divBdr>
      <w:divsChild>
        <w:div w:id="303657829">
          <w:marLeft w:val="0"/>
          <w:marRight w:val="0"/>
          <w:marTop w:val="0"/>
          <w:marBottom w:val="0"/>
          <w:divBdr>
            <w:top w:val="none" w:sz="0" w:space="0" w:color="auto"/>
            <w:left w:val="none" w:sz="0" w:space="0" w:color="auto"/>
            <w:bottom w:val="none" w:sz="0" w:space="0" w:color="auto"/>
            <w:right w:val="none" w:sz="0" w:space="0" w:color="auto"/>
          </w:divBdr>
        </w:div>
        <w:div w:id="224416795">
          <w:marLeft w:val="0"/>
          <w:marRight w:val="0"/>
          <w:marTop w:val="0"/>
          <w:marBottom w:val="0"/>
          <w:divBdr>
            <w:top w:val="none" w:sz="0" w:space="0" w:color="auto"/>
            <w:left w:val="none" w:sz="0" w:space="0" w:color="auto"/>
            <w:bottom w:val="none" w:sz="0" w:space="0" w:color="auto"/>
            <w:right w:val="none" w:sz="0" w:space="0" w:color="auto"/>
          </w:divBdr>
        </w:div>
        <w:div w:id="1025328904">
          <w:marLeft w:val="0"/>
          <w:marRight w:val="0"/>
          <w:marTop w:val="0"/>
          <w:marBottom w:val="0"/>
          <w:divBdr>
            <w:top w:val="none" w:sz="0" w:space="0" w:color="auto"/>
            <w:left w:val="none" w:sz="0" w:space="0" w:color="auto"/>
            <w:bottom w:val="none" w:sz="0" w:space="0" w:color="auto"/>
            <w:right w:val="none" w:sz="0" w:space="0" w:color="auto"/>
          </w:divBdr>
        </w:div>
      </w:divsChild>
    </w:div>
    <w:div w:id="671840650">
      <w:bodyDiv w:val="1"/>
      <w:marLeft w:val="0"/>
      <w:marRight w:val="0"/>
      <w:marTop w:val="0"/>
      <w:marBottom w:val="0"/>
      <w:divBdr>
        <w:top w:val="none" w:sz="0" w:space="0" w:color="auto"/>
        <w:left w:val="none" w:sz="0" w:space="0" w:color="auto"/>
        <w:bottom w:val="none" w:sz="0" w:space="0" w:color="auto"/>
        <w:right w:val="none" w:sz="0" w:space="0" w:color="auto"/>
      </w:divBdr>
    </w:div>
    <w:div w:id="860046314">
      <w:bodyDiv w:val="1"/>
      <w:marLeft w:val="0"/>
      <w:marRight w:val="0"/>
      <w:marTop w:val="0"/>
      <w:marBottom w:val="0"/>
      <w:divBdr>
        <w:top w:val="none" w:sz="0" w:space="0" w:color="auto"/>
        <w:left w:val="none" w:sz="0" w:space="0" w:color="auto"/>
        <w:bottom w:val="none" w:sz="0" w:space="0" w:color="auto"/>
        <w:right w:val="none" w:sz="0" w:space="0" w:color="auto"/>
      </w:divBdr>
    </w:div>
    <w:div w:id="1076315945">
      <w:bodyDiv w:val="1"/>
      <w:marLeft w:val="0"/>
      <w:marRight w:val="0"/>
      <w:marTop w:val="0"/>
      <w:marBottom w:val="0"/>
      <w:divBdr>
        <w:top w:val="none" w:sz="0" w:space="0" w:color="auto"/>
        <w:left w:val="none" w:sz="0" w:space="0" w:color="auto"/>
        <w:bottom w:val="none" w:sz="0" w:space="0" w:color="auto"/>
        <w:right w:val="none" w:sz="0" w:space="0" w:color="auto"/>
      </w:divBdr>
    </w:div>
    <w:div w:id="1108620334">
      <w:bodyDiv w:val="1"/>
      <w:marLeft w:val="0"/>
      <w:marRight w:val="0"/>
      <w:marTop w:val="0"/>
      <w:marBottom w:val="0"/>
      <w:divBdr>
        <w:top w:val="none" w:sz="0" w:space="0" w:color="auto"/>
        <w:left w:val="none" w:sz="0" w:space="0" w:color="auto"/>
        <w:bottom w:val="none" w:sz="0" w:space="0" w:color="auto"/>
        <w:right w:val="none" w:sz="0" w:space="0" w:color="auto"/>
      </w:divBdr>
    </w:div>
    <w:div w:id="1170674875">
      <w:bodyDiv w:val="1"/>
      <w:marLeft w:val="0"/>
      <w:marRight w:val="0"/>
      <w:marTop w:val="0"/>
      <w:marBottom w:val="0"/>
      <w:divBdr>
        <w:top w:val="none" w:sz="0" w:space="0" w:color="auto"/>
        <w:left w:val="none" w:sz="0" w:space="0" w:color="auto"/>
        <w:bottom w:val="none" w:sz="0" w:space="0" w:color="auto"/>
        <w:right w:val="none" w:sz="0" w:space="0" w:color="auto"/>
      </w:divBdr>
    </w:div>
    <w:div w:id="1247760347">
      <w:bodyDiv w:val="1"/>
      <w:marLeft w:val="0"/>
      <w:marRight w:val="0"/>
      <w:marTop w:val="0"/>
      <w:marBottom w:val="0"/>
      <w:divBdr>
        <w:top w:val="none" w:sz="0" w:space="0" w:color="auto"/>
        <w:left w:val="none" w:sz="0" w:space="0" w:color="auto"/>
        <w:bottom w:val="none" w:sz="0" w:space="0" w:color="auto"/>
        <w:right w:val="none" w:sz="0" w:space="0" w:color="auto"/>
      </w:divBdr>
    </w:div>
    <w:div w:id="1274897039">
      <w:bodyDiv w:val="1"/>
      <w:marLeft w:val="0"/>
      <w:marRight w:val="0"/>
      <w:marTop w:val="0"/>
      <w:marBottom w:val="0"/>
      <w:divBdr>
        <w:top w:val="none" w:sz="0" w:space="0" w:color="auto"/>
        <w:left w:val="none" w:sz="0" w:space="0" w:color="auto"/>
        <w:bottom w:val="none" w:sz="0" w:space="0" w:color="auto"/>
        <w:right w:val="none" w:sz="0" w:space="0" w:color="auto"/>
      </w:divBdr>
    </w:div>
    <w:div w:id="1386833346">
      <w:bodyDiv w:val="1"/>
      <w:marLeft w:val="0"/>
      <w:marRight w:val="0"/>
      <w:marTop w:val="0"/>
      <w:marBottom w:val="0"/>
      <w:divBdr>
        <w:top w:val="none" w:sz="0" w:space="0" w:color="auto"/>
        <w:left w:val="none" w:sz="0" w:space="0" w:color="auto"/>
        <w:bottom w:val="none" w:sz="0" w:space="0" w:color="auto"/>
        <w:right w:val="none" w:sz="0" w:space="0" w:color="auto"/>
      </w:divBdr>
    </w:div>
    <w:div w:id="1405830987">
      <w:bodyDiv w:val="1"/>
      <w:marLeft w:val="0"/>
      <w:marRight w:val="0"/>
      <w:marTop w:val="0"/>
      <w:marBottom w:val="0"/>
      <w:divBdr>
        <w:top w:val="none" w:sz="0" w:space="0" w:color="auto"/>
        <w:left w:val="none" w:sz="0" w:space="0" w:color="auto"/>
        <w:bottom w:val="none" w:sz="0" w:space="0" w:color="auto"/>
        <w:right w:val="none" w:sz="0" w:space="0" w:color="auto"/>
      </w:divBdr>
    </w:div>
    <w:div w:id="1542132876">
      <w:bodyDiv w:val="1"/>
      <w:marLeft w:val="0"/>
      <w:marRight w:val="0"/>
      <w:marTop w:val="0"/>
      <w:marBottom w:val="0"/>
      <w:divBdr>
        <w:top w:val="none" w:sz="0" w:space="0" w:color="auto"/>
        <w:left w:val="none" w:sz="0" w:space="0" w:color="auto"/>
        <w:bottom w:val="none" w:sz="0" w:space="0" w:color="auto"/>
        <w:right w:val="none" w:sz="0" w:space="0" w:color="auto"/>
      </w:divBdr>
    </w:div>
    <w:div w:id="1583100536">
      <w:bodyDiv w:val="1"/>
      <w:marLeft w:val="0"/>
      <w:marRight w:val="0"/>
      <w:marTop w:val="0"/>
      <w:marBottom w:val="0"/>
      <w:divBdr>
        <w:top w:val="none" w:sz="0" w:space="0" w:color="auto"/>
        <w:left w:val="none" w:sz="0" w:space="0" w:color="auto"/>
        <w:bottom w:val="none" w:sz="0" w:space="0" w:color="auto"/>
        <w:right w:val="none" w:sz="0" w:space="0" w:color="auto"/>
      </w:divBdr>
    </w:div>
    <w:div w:id="2089301682">
      <w:bodyDiv w:val="1"/>
      <w:marLeft w:val="0"/>
      <w:marRight w:val="0"/>
      <w:marTop w:val="0"/>
      <w:marBottom w:val="0"/>
      <w:divBdr>
        <w:top w:val="none" w:sz="0" w:space="0" w:color="auto"/>
        <w:left w:val="none" w:sz="0" w:space="0" w:color="auto"/>
        <w:bottom w:val="none" w:sz="0" w:space="0" w:color="auto"/>
        <w:right w:val="none" w:sz="0" w:space="0" w:color="auto"/>
      </w:divBdr>
    </w:div>
    <w:div w:id="21448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EX\Documents\c3_Template_Word_PolicyToolkit_Innovation_Green_2019.dotx" TargetMode="External"/></Relationships>
</file>

<file path=word/theme/theme1.xml><?xml version="1.0" encoding="utf-8"?>
<a:theme xmlns:a="http://schemas.openxmlformats.org/drawingml/2006/main" name="Presentation1">
  <a:themeElements>
    <a:clrScheme name="ExcelinEd1">
      <a:dk1>
        <a:sysClr val="windowText" lastClr="000000"/>
      </a:dk1>
      <a:lt1>
        <a:sysClr val="window" lastClr="FFFFFF"/>
      </a:lt1>
      <a:dk2>
        <a:srgbClr val="05678B"/>
      </a:dk2>
      <a:lt2>
        <a:srgbClr val="DFE4E5"/>
      </a:lt2>
      <a:accent1>
        <a:srgbClr val="1893D1"/>
      </a:accent1>
      <a:accent2>
        <a:srgbClr val="FFC212"/>
      </a:accent2>
      <a:accent3>
        <a:srgbClr val="F26652"/>
      </a:accent3>
      <a:accent4>
        <a:srgbClr val="C374AF"/>
      </a:accent4>
      <a:accent5>
        <a:srgbClr val="25A570"/>
      </a:accent5>
      <a:accent6>
        <a:srgbClr val="4F4E56"/>
      </a:accent6>
      <a:hlink>
        <a:srgbClr val="0078C1"/>
      </a:hlink>
      <a:folHlink>
        <a:srgbClr val="798EA9"/>
      </a:folHlink>
    </a:clrScheme>
    <a:fontScheme name="ExcelinEd Brand San Serif Fon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resentation1" id="{358B5C09-E07D-46C8-998B-C6930DD59552}" vid="{E44F59A2-5D77-4E53-B153-2E1A2BBDEF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04955539C7D459D25A700B2165EC7" ma:contentTypeVersion="12" ma:contentTypeDescription="Create a new document." ma:contentTypeScope="" ma:versionID="be437efb5eaa1b68eae539b86430ef64">
  <xsd:schema xmlns:xsd="http://www.w3.org/2001/XMLSchema" xmlns:xs="http://www.w3.org/2001/XMLSchema" xmlns:p="http://schemas.microsoft.com/office/2006/metadata/properties" xmlns:ns2="f5dc71d0-c69f-4f7f-9e05-f8cc39fca0d8" xmlns:ns3="df82e833-ba19-4ad9-86d2-2a1833686044" targetNamespace="http://schemas.microsoft.com/office/2006/metadata/properties" ma:root="true" ma:fieldsID="c296220a116e526caca30d722fe7ee47" ns2:_="" ns3:_="">
    <xsd:import namespace="f5dc71d0-c69f-4f7f-9e05-f8cc39fca0d8"/>
    <xsd:import namespace="df82e833-ba19-4ad9-86d2-2a1833686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71d0-c69f-4f7f-9e05-f8cc39fca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2e833-ba19-4ad9-86d2-2a18336860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8420-8ECA-4010-A0A6-D858F0EE45AF}">
  <ds:schemaRefs>
    <ds:schemaRef ds:uri="http://schemas.openxmlformats.org/package/2006/metadata/core-properties"/>
    <ds:schemaRef ds:uri="http://purl.org/dc/terms/"/>
    <ds:schemaRef ds:uri="http://purl.org/dc/elements/1.1/"/>
    <ds:schemaRef ds:uri="http://schemas.microsoft.com/office/infopath/2007/PartnerControls"/>
    <ds:schemaRef ds:uri="df82e833-ba19-4ad9-86d2-2a1833686044"/>
    <ds:schemaRef ds:uri="http://schemas.microsoft.com/office/2006/metadata/properties"/>
    <ds:schemaRef ds:uri="f5dc71d0-c69f-4f7f-9e05-f8cc39fca0d8"/>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24AA9AC-B005-4243-B00D-C8D75CF4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71d0-c69f-4f7f-9e05-f8cc39fca0d8"/>
    <ds:schemaRef ds:uri="df82e833-ba19-4ad9-86d2-2a1833686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D7748-36E9-4869-917F-D65E20DB51C5}">
  <ds:schemaRefs>
    <ds:schemaRef ds:uri="http://schemas.microsoft.com/sharepoint/v3/contenttype/forms"/>
  </ds:schemaRefs>
</ds:datastoreItem>
</file>

<file path=customXml/itemProps4.xml><?xml version="1.0" encoding="utf-8"?>
<ds:datastoreItem xmlns:ds="http://schemas.openxmlformats.org/officeDocument/2006/customXml" ds:itemID="{D971725B-1EEC-4F82-8533-8379BCE8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c3_Template_Word_PolicyToolkit_Innovation_Green_2019</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Crowson (Clare@excelined.org)</dc:creator>
  <cp:keywords/>
  <dc:description/>
  <cp:lastModifiedBy>Clare Crowson (Clare@excelined.org)</cp:lastModifiedBy>
  <cp:revision>2</cp:revision>
  <cp:lastPrinted>2016-11-14T14:42:00Z</cp:lastPrinted>
  <dcterms:created xsi:type="dcterms:W3CDTF">2019-07-10T19:36:00Z</dcterms:created>
  <dcterms:modified xsi:type="dcterms:W3CDTF">2019-07-10T19:36:00Z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0x010100BE304955539C7D459D25A700B2165EC7</vt:lpwstr>
  </property>
</Properties>
</file>